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85" w:rsidRPr="00663A85" w:rsidRDefault="000D2E85" w:rsidP="000D2E85">
      <w:pPr>
        <w:widowControl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</w:pPr>
      <w:r w:rsidRPr="00663A85"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  <w:t xml:space="preserve">РАБОЧАЯ </w:t>
      </w:r>
      <w:r w:rsidRPr="00663A85">
        <w:rPr>
          <w:rFonts w:ascii="Times New Roman" w:eastAsia="SimSun" w:hAnsi="Times New Roman"/>
          <w:b/>
          <w:bCs/>
          <w:caps/>
          <w:color w:val="000000"/>
          <w:kern w:val="3"/>
          <w:sz w:val="24"/>
          <w:szCs w:val="24"/>
        </w:rPr>
        <w:t>ПРОГРАММА курса ВНЕУРОЧНОЙ</w:t>
      </w:r>
      <w:r w:rsidRPr="00663A85"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  <w:t xml:space="preserve"> ДЕЯТЕЛЬНОСТИ</w:t>
      </w:r>
    </w:p>
    <w:p w:rsidR="000D2E85" w:rsidRPr="005F6D31" w:rsidRDefault="000D2E85" w:rsidP="000D2E85">
      <w:pPr>
        <w:widowControl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kern w:val="3"/>
          <w:sz w:val="24"/>
          <w:szCs w:val="24"/>
        </w:rPr>
      </w:pPr>
      <w:r w:rsidRPr="005F6D31">
        <w:rPr>
          <w:rFonts w:ascii="Times New Roman" w:eastAsia="Times New Roman" w:hAnsi="Times New Roman"/>
          <w:b/>
          <w:caps/>
          <w:kern w:val="3"/>
          <w:sz w:val="24"/>
          <w:szCs w:val="24"/>
        </w:rPr>
        <w:t>«Весёлые нотки»</w:t>
      </w:r>
      <w:r>
        <w:rPr>
          <w:rFonts w:ascii="Times New Roman" w:eastAsia="Times New Roman" w:hAnsi="Times New Roman"/>
          <w:b/>
          <w:caps/>
          <w:kern w:val="3"/>
          <w:sz w:val="24"/>
          <w:szCs w:val="24"/>
        </w:rPr>
        <w:t>.</w:t>
      </w:r>
    </w:p>
    <w:p w:rsidR="000D2E85" w:rsidRPr="00663A85" w:rsidRDefault="000D2E85" w:rsidP="000D2E85">
      <w:pPr>
        <w:widowControl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aps/>
          <w:color w:val="000000"/>
          <w:sz w:val="24"/>
          <w:szCs w:val="24"/>
          <w:lang w:eastAsia="ar-SA"/>
        </w:rPr>
      </w:pPr>
    </w:p>
    <w:p w:rsidR="000D2E85" w:rsidRPr="00663A85" w:rsidRDefault="000D2E85" w:rsidP="000D2E85">
      <w:pPr>
        <w:widowControl/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3A85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Пояснительная записка</w:t>
      </w:r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ПРОГРАММЫ КУРСА ВНЕУРОЧНОЙ Д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>ЯТЕЛЬНОСТИ «ВЕСЕЛЫЕ НОТКИ»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0D2E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Рабочая программа курса внеурочной деятельности «Веселые нотки» составлена в соответствии с требованиями Федерального государственного образовательного стандарта начального общего образования. Рабочая программа имеет предметную направленность. 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Данная программа направлена на выполнение одной из важнейших задач музыкального образования – обеспечение условий для вхождения ребенка в мир искусства, знакомство его с культурным наследием народного хорового пения, классических и современных музыкальных произведений. Учебно-воспитательные задачи обусловлены музыкой, выступающей на всех занятиях как объект познания и средство воспитания.</w:t>
      </w:r>
    </w:p>
    <w:p w:rsidR="000D2E85" w:rsidRPr="007D36D8" w:rsidRDefault="000D2E85" w:rsidP="000D2E85">
      <w:pPr>
        <w:widowControl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«Весёлые нотки» рассчитана на 4 года обучения для младшего школьного возраста обучающихся. Программа «Весёлые нотки» рассчитана на обучающихся в возрасте 7-11 </w:t>
      </w:r>
      <w:r w:rsidRPr="001D18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лет.</w:t>
      </w:r>
      <w:r w:rsidRPr="001D1851">
        <w:rPr>
          <w:rFonts w:ascii="Times New Roman" w:eastAsia="Times New Roman" w:hAnsi="Times New Roman"/>
          <w:sz w:val="24"/>
          <w:szCs w:val="24"/>
          <w:lang w:eastAsia="ar-SA"/>
        </w:rPr>
        <w:t xml:space="preserve"> Занятия проводятся по 0,5 ч. в неделю. Итого в год: в 1-м классе – 16,5 ч.,2-м классе – 17 ч., в 3-м классе – 17 ч., 4-м классе – 17 ч. Итого за курс </w:t>
      </w:r>
      <w:proofErr w:type="gramStart"/>
      <w:r w:rsidRPr="001D1851">
        <w:rPr>
          <w:rFonts w:ascii="Times New Roman" w:eastAsia="Times New Roman" w:hAnsi="Times New Roman"/>
          <w:sz w:val="24"/>
          <w:szCs w:val="24"/>
          <w:lang w:eastAsia="ar-SA"/>
        </w:rPr>
        <w:t xml:space="preserve">обучения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  <w:r w:rsidRPr="001D1851">
        <w:rPr>
          <w:rFonts w:ascii="Times New Roman" w:eastAsia="Times New Roman" w:hAnsi="Times New Roman"/>
          <w:sz w:val="24"/>
          <w:szCs w:val="24"/>
          <w:lang w:eastAsia="ar-SA"/>
        </w:rPr>
        <w:t>67,5 ч.</w:t>
      </w:r>
      <w:r w:rsidRPr="007D36D8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0D2E85" w:rsidRPr="00663A85" w:rsidRDefault="000D2E85" w:rsidP="000D2E85">
      <w:pPr>
        <w:widowControl/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/>
          <w:caps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 xml:space="preserve">Содержание </w:t>
      </w:r>
      <w:r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t>ПРОГРАММЫ КУРСА ВНЕУРОЧНОЙ ДЕЯТЕЛЬНОСТИ «ВЕСЕЛЫЕ НОТКИ».</w:t>
      </w:r>
    </w:p>
    <w:p w:rsidR="000D2E85" w:rsidRPr="00663A85" w:rsidRDefault="000D2E85" w:rsidP="000D2E85">
      <w:pPr>
        <w:widowControl/>
        <w:suppressAutoHyphens/>
        <w:spacing w:after="0" w:line="240" w:lineRule="auto"/>
        <w:ind w:left="2250"/>
        <w:jc w:val="both"/>
        <w:rPr>
          <w:rFonts w:ascii="Times New Roman" w:eastAsia="Times New Roman" w:hAnsi="Times New Roman"/>
          <w:caps/>
          <w:sz w:val="24"/>
          <w:szCs w:val="24"/>
          <w:lang w:eastAsia="ar-SA"/>
        </w:rPr>
      </w:pP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Занятия внеурочной деятельности «Весёлые нотки» ведутся по программе, включающей несколько разделов.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«Шумовые и музыкальные звуки»</w:t>
      </w:r>
    </w:p>
    <w:p w:rsidR="000D2E85" w:rsidRPr="00663A85" w:rsidRDefault="000D2E85" w:rsidP="000D2E85">
      <w:pPr>
        <w:widowControl/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На первом вводном занятии руководитель знакомит ребят с программой внеурочной деятельности, правилами поведения на кружке, охраной голоса, проводится инструктаж для учащихся. В конце занятия проводится музыкальная игра.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«Шумовые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музыкальными инструментами. Импровизация на музыкальных инструментах.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беседа, прослушивание звуков природы, групповые игры.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«Разбудим голосок»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Раздел объединяет игры и упражнения, направленные на развитие дыхания и свободы голосового аппарата, правильной артикуляции, четкой дикции. Распевание. Скороговорки.</w:t>
      </w:r>
    </w:p>
    <w:p w:rsidR="000D2E85" w:rsidRPr="00663A85" w:rsidRDefault="000D2E85" w:rsidP="000D2E85">
      <w:pPr>
        <w:widowControl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«Голос – одежда нашей речи».  В быту различают голоса сильные – слабые, высокие – низкие, чистые – нечистые, звонкие – глухие, визжащие - ворчащие, т.е. бытовая классификация указывает на отличительные качества (признаки, приметы) голоса: сила, объем, чистота, характер окраски. </w:t>
      </w:r>
    </w:p>
    <w:p w:rsidR="000D2E85" w:rsidRPr="00663A85" w:rsidRDefault="000D2E85" w:rsidP="000D2E85">
      <w:pPr>
        <w:widowControl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Богатство голоса во многом определяется объемом, регистровым диапазоном его. В голосе каждого человека есть 2-3 нотки, которые приятно звучат и образуются без какого-либо напряжения. Это звуки нормального или натурального голоса.</w:t>
      </w:r>
    </w:p>
    <w:p w:rsidR="000D2E85" w:rsidRPr="00663A85" w:rsidRDefault="000D2E85" w:rsidP="000D2E85">
      <w:pPr>
        <w:widowControl/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Голос – нежнейший и тончайший инструмент, которым должен владеть каждый, особенно исполнитель. Голос надо беречь, упражнять, развивать, обогащать, совершенствовать.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групповые игры, сольное и хоровое пение.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«Развитие голоса»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В раздел включены музыкальные игры, развивающие голосовой аппарат, умение исполнять детские песенки, </w:t>
      </w:r>
      <w:proofErr w:type="spellStart"/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попевки</w:t>
      </w:r>
      <w:proofErr w:type="spellEnd"/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, сочинять небольшие рассказы и сказки о музыке. Дети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учатся создавать различные по характеру музыкальные образы. В этой работе ребенок проживает вместе с героями детских песен, эмоционально реагирует на их внешние и внутренние характеристики, выстраивает логику поведения героев. У детей формируется нравственно-эстетическая отзывчивость на прекрасное и безобразное в жизни и в искусстве. При сочинении произведений обогащается словарный запас, развивается логика построения сюжета, при выборе музыкальных и художественных элементов для яркости образа формируется чувство вкуса.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групповые игры, сольное и хоровое пение.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«Музыка вокруг тебя»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Раздел «Музыка» - призван познакомить учащихся с музыкой как видом искусства; дать понятие, что даёт музыкальное искусство в формировании личности. Он включает в себя беседы, встречи с музыкантами, экскурсии в театр, видео просмотры и аудио прослушивание, участие детей в концертах, представление своих творческих работ по темам бесед. Краткие сведения о музыкальном искусстве и его особенностях.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Раздел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– экскурсии, постановка музыкальных сказок, концертов.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«Композиторы - детям»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Раздел призван 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представления о том, что композиторы пишут музыку как для взрослых, так и для детей. 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У школьников развиваются 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исполнительские умения во всех видах музыкальной деятельности – пении, музыкально-пластическом движении, игре на музыкальных инструментах; умение определять характер музыки и высказываться о ее звучании; закреплять знание произведений, имена композиторов, названия музыкальных инструментов.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3A85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Раздел не только 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развивает эмоциональный отклик на музыку, но и музыкальную память, музыкальный слух (мелодический, тембровый), чувство ритма; образно, художественное мышление и воображение.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3A85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 У детей воспитывается 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чувство уважения к музыкальной культуре своего народа и народов других стран, личностные качества (</w:t>
      </w:r>
      <w:proofErr w:type="spellStart"/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эмпатию</w:t>
      </w:r>
      <w:proofErr w:type="spellEnd"/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рефлексию), чувство коллективизма, ответственности за выполнение общего дела.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беседа, прослушивание произведений композиторов, групповые игры.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«Музыкальная грамота»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Для того чтобы заниматься музыкой — петь, играть на каком-либо инструменте, импровизировать, сочинять, нужно знать законы музыкального языка. Задача музыкальной грамоты — знакомство с основными элементами музыкального языка.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Теоретические знания, получаемые обучающимися в процессе занятий, должны быть связаны с практическими навыками. Знание теоретических основ способствует воспитанию музыкального мышления учащихся, вырабатывает сознательное отношение к изучаемым музыкальным явлениям. Обучающиеся приобретут следующие знания, умения и навыки: наличие первичных знаний о музыкальных жанрах; знания простой музыкальной терминологии; знания основ музыкальной грамоты; знания основных средств выразительности, используемых в музыкальном искусстве.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беседа, сольное и хоровое пение, творческие игры.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«Музыкальные инструменты»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Раздел поможет </w:t>
      </w:r>
      <w:r w:rsidRPr="00663A85">
        <w:rPr>
          <w:rFonts w:ascii="Times New Roman" w:eastAsia="Times New Roman" w:hAnsi="Times New Roman"/>
          <w:sz w:val="24"/>
          <w:szCs w:val="24"/>
          <w:lang w:eastAsia="ru-RU"/>
        </w:rPr>
        <w:t>сформировать у учащихся представление о разнообразии музыкальных инструментов. Учащиеся научатся сравнивать, использовать имеющие сведения, для получения новых знаний, что разовьёт их мыслительную деятельность, интерес к слушанию музыки. Дети</w:t>
      </w:r>
      <w:r w:rsidRPr="00663A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научатся выделить основные группы музыкальных инструментов (струнные, духовые, клавишные, ударные); классифицировать их по группам. Познакомятся с изображением различных инструментов, углубят знания детей о происхождении инструментов, научатся узнавать их по звучанию.</w:t>
      </w:r>
    </w:p>
    <w:p w:rsidR="000D2E85" w:rsidRPr="00663A85" w:rsidRDefault="000D2E85" w:rsidP="000D2E8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lastRenderedPageBreak/>
        <w:t xml:space="preserve">      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беседа, групповая деятельность, творческие игры.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Тема «Фольклор»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Действенное 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 Знакомство с русскими народными жанрами: сказками, песнями, играми, пословицами, дразнилками, считалками. Ансамбль. Народный оркестр. Чем похожи «Три оркестра».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– импровизация игр, хороводов, сказок, народных песен.      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«Творчество»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В раздел включены музыкальные игры, развивающие голосовой аппарат, умение сочинять частушки, скороговорки, считалки, небольшие рассказы и сказки о музыке, подбирать простейшие мелодии. Дети учатся создавать различные по характеру музыкальные образы. В этой работе ребенок проживает вместе с героем действия и поступки, эмоционально реагирует на его внешние и внутренние характеристики, выстраивает логику поведения героя. Необходимо проводить обсуждение музыкальных произведений, воспитывать у ребят интерес к работе друг друга, самокритичность, формировать критерий оценки качества работы. У детей формируется нравственно-эстетическая отзывчивость на прекрасное и безобразное в жизни и в искусстве.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Формы</w:t>
      </w: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творческие игры, конкурсы.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Тема «Радуга талантов»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«Радуга талантов» - является итоговым, включает в себя выступление перед младшими школьниками, родителями, населением, работу с отрывками и постановками музыкальных сказок. Возможно проявление творчества детей: дополнение сценария учащимися, выбор музыкального сопровождения музыкальных сказок.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По итогам кастинга на лучшие музыкальные и актерские способности выбираются главные исполнители музыкальных сказок, сольных партий. Коллективно изготавливаются декорации, костюмы для музыкально-театрализованных представлений. Подготовка сольных партий. Прогонные и генеральные репетиции, выступление. 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Формы 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– творческий отчёт, концертная деятельность.</w:t>
      </w:r>
    </w:p>
    <w:p w:rsidR="000D2E85" w:rsidRDefault="000D2E85" w:rsidP="000D2E85">
      <w:pPr>
        <w:widowControl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D2E85" w:rsidRDefault="000D2E85" w:rsidP="000D2E85">
      <w:pPr>
        <w:widowControl/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ПЛАНИРУЕМЫЕ РЕЗУЛЬТАТЫ ОСВОЕНИЯ </w:t>
      </w:r>
      <w:proofErr w:type="gramStart"/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ПРОГРАММЫ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>КУРСА</w:t>
      </w:r>
      <w:proofErr w:type="gramEnd"/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ВНЕУРОЧНОЙ Д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2B0A6D">
        <w:rPr>
          <w:rFonts w:ascii="Times New Roman" w:eastAsia="Times New Roman" w:hAnsi="Times New Roman"/>
          <w:b/>
          <w:sz w:val="24"/>
          <w:szCs w:val="24"/>
          <w:lang w:eastAsia="ar-SA"/>
        </w:rPr>
        <w:t>ЯТЕЛЬНОСТИ «ВЕСЕЛЫЕ НОТКИ»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0D2E85" w:rsidRPr="002B0A6D" w:rsidRDefault="000D2E85" w:rsidP="000D2E85">
      <w:pPr>
        <w:widowControl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Данная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программа ориентирована на формирование и развитие следующих универсальных учебных действий.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Личностные универсальные учебные действия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: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эмоциональная отзывчивость на музыкальные произведения;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эмоциональное восприятие образов родной природы, отражённых в музыке, чувство гордости за русскую народную музыкальную культуру;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положительное отношение к музыкальным занятиям, интерес к отдельным видам музыкально-практической деятельности и творческой;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уважение к чувствам и настроениям другого человека.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понимания значения музыкального искусства в жизни человека;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-нравственно-эстетических переживаний музыки;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начальной стадии внутренней позиции школьника через освоение позиции слушателя и исполнителя музыкальных сочинений;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Регулятивные универсальные учебные действия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принимать учебную задачу и следовать инструкции учителя;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планировать свои действия в соответствии с учебными задачами и инструкцией учителя;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- эмоционально откликаться на музыкальную характеристику героев музыкальных сказок и музыкальных зарисовок;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выполнять действия в устной форме;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осуществлять контроль своего участия в доступных видах музыкальной деятельности.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понимать смысл инструкции учителя и заданий;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воспринимать мнение взрослых о музыкальном произведении и его исполнении;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- выполнять действия в опоре на заданный ориентир;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- выполнять действия в </w:t>
      </w:r>
      <w:proofErr w:type="spellStart"/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громкоречевой</w:t>
      </w:r>
      <w:proofErr w:type="spellEnd"/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форме.</w:t>
      </w:r>
    </w:p>
    <w:p w:rsidR="000D2E85" w:rsidRPr="00663A85" w:rsidRDefault="000D2E85" w:rsidP="000D2E85">
      <w:pPr>
        <w:widowControl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Познавательные универсальные учебные действия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осуществлять поиск нужной информации;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расширять свои представления о музыке;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ориентироваться в способах решения исполнительской задачи;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использовать рисуночные и простые символические варианты музыкальной записи, в том числе карточки ритма;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читать простое схематическое изображение;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различать условные обозначения;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сравнивать разные части музыкального текста;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соотносить содержание рисунков с музыкальными впечатлениями.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соотносить различные произведения по настроению, форме, по некоторым средствам музыкальной выразительности (темп, динамика, ритм, мелодия);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соотносить иллюстративный материал и основное содержание музыкального сочинения.</w:t>
      </w:r>
    </w:p>
    <w:p w:rsidR="000D2E85" w:rsidRPr="00663A85" w:rsidRDefault="000D2E85" w:rsidP="000D2E85">
      <w:pPr>
        <w:widowControl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Коммуникативные универсальные учебные действия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использовать простые речевые средства для передачи своего впечатления от музыки;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исполнять музыкальные произведения со сверстниками, выполняя при этом разные функции (ритмическое сопровождение на разных детских инструментах и т.п.);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учитывать настроение других людей, их эмоции от восприятия музыки;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принимать участие в импровизациях, в коллективных инсценировках, в обсуждении музыкальных впечатлений;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следить за действиями других участников в процессе музыкальной деятельности. - выражать свое мнение о музыке в процессе слушания и исполнения;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следить за действиями других участников в процессе импровизаций, коллективной творческой деятельности;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понимать содержание вопросов о музыке и воспроизводить их;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контролировать свои действия в групповой работе;</w:t>
      </w:r>
    </w:p>
    <w:p w:rsidR="000D2E85" w:rsidRPr="00663A85" w:rsidRDefault="000D2E85" w:rsidP="000D2E85">
      <w:pPr>
        <w:widowControl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проявлять инициативу, участвуя в исполнении музыки.</w:t>
      </w:r>
    </w:p>
    <w:p w:rsidR="000D2E85" w:rsidRPr="00663A85" w:rsidRDefault="000D2E85" w:rsidP="000D2E85">
      <w:pPr>
        <w:widowControl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</w:p>
    <w:p w:rsidR="000D2E85" w:rsidRPr="00663A85" w:rsidRDefault="000D2E85" w:rsidP="000D2E85">
      <w:pPr>
        <w:widowControl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Предметными результатами</w:t>
      </w: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 изучения программы является формирование следующих знаний и умений.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b/>
          <w:sz w:val="24"/>
          <w:szCs w:val="24"/>
          <w:lang w:eastAsia="ar-SA"/>
        </w:rPr>
        <w:t>К концу 4-го класса обучающийся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ЗНАЕТ: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1.  Что такое музыка.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2.  Чем отличается музыка от других видов искусств.</w:t>
      </w:r>
    </w:p>
    <w:p w:rsidR="000D2E85" w:rsidRPr="00663A85" w:rsidRDefault="000D2E85" w:rsidP="000D2E85">
      <w:pPr>
        <w:widowControl/>
        <w:tabs>
          <w:tab w:val="left" w:pos="284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3.  С чего зародилась музыка.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4.  Какие виды музыкальной деятельности существуют.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5.  Кто создаёт музыкальные произведения.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ИМЕЕТ ПОНЯТИЯ: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1.  Об элементарных музыкальных средствах исполнения.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2.  О вокально-хоровой деятельности (распевания).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3.  О нормах поведения на сцене и в зрительном зале.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</w:pPr>
      <w:r w:rsidRPr="00663A85">
        <w:rPr>
          <w:rFonts w:ascii="Times New Roman" w:eastAsia="Times New Roman" w:hAnsi="Times New Roman"/>
          <w:b/>
          <w:i/>
          <w:sz w:val="24"/>
          <w:szCs w:val="24"/>
          <w:u w:val="single"/>
          <w:lang w:eastAsia="ar-SA"/>
        </w:rPr>
        <w:t>УМЕЕТ: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1.  Выражать свое отношение к явлениям в жизни и на сцене.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2.  Образно мыслить.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3.  Концентрировать внимание.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4.  Ощущать себя в музыкальном пространстве.</w:t>
      </w:r>
    </w:p>
    <w:p w:rsidR="000D2E85" w:rsidRPr="00357FF2" w:rsidRDefault="000D2E85" w:rsidP="000D2E85">
      <w:pPr>
        <w:widowControl/>
        <w:suppressAutoHyphens/>
        <w:spacing w:after="0" w:line="240" w:lineRule="auto"/>
        <w:jc w:val="both"/>
        <w:rPr>
          <w:rFonts w:ascii="Times New Roman Полужирный" w:eastAsia="Times New Roman" w:hAnsi="Times New Roman Полужирный"/>
          <w:b/>
          <w:i/>
          <w:sz w:val="24"/>
          <w:szCs w:val="24"/>
          <w:u w:val="single"/>
          <w:lang w:eastAsia="ar-SA"/>
        </w:rPr>
      </w:pPr>
      <w:proofErr w:type="gramStart"/>
      <w:r w:rsidRPr="00357FF2">
        <w:rPr>
          <w:rFonts w:ascii="Times New Roman Полужирный" w:eastAsia="Times New Roman" w:hAnsi="Times New Roman Полужирный"/>
          <w:b/>
          <w:i/>
          <w:sz w:val="24"/>
          <w:szCs w:val="24"/>
          <w:u w:val="single"/>
          <w:lang w:eastAsia="ar-SA"/>
        </w:rPr>
        <w:t>ПРИОБРЕТАЕТ  НАВЫКИ</w:t>
      </w:r>
      <w:proofErr w:type="gramEnd"/>
      <w:r w:rsidRPr="00357FF2">
        <w:rPr>
          <w:rFonts w:ascii="Times New Roman Полужирный" w:eastAsia="Times New Roman" w:hAnsi="Times New Roman Полужирный"/>
          <w:b/>
          <w:i/>
          <w:sz w:val="24"/>
          <w:szCs w:val="24"/>
          <w:u w:val="single"/>
          <w:lang w:eastAsia="ar-SA"/>
        </w:rPr>
        <w:t>: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1.  Общения с партнером (одноклассниками).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2.  Элементарного музыкального мастерства.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3.  Образного восприятия музыкального произведения.</w:t>
      </w:r>
    </w:p>
    <w:p w:rsidR="000D2E85" w:rsidRPr="00663A85" w:rsidRDefault="000D2E85" w:rsidP="000D2E85">
      <w:pPr>
        <w:widowControl/>
        <w:tabs>
          <w:tab w:val="left" w:pos="360"/>
        </w:tabs>
        <w:suppressAutoHyphens/>
        <w:spacing w:after="0" w:line="240" w:lineRule="auto"/>
        <w:ind w:left="390" w:hanging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>4.  Коллективного творчества</w:t>
      </w:r>
    </w:p>
    <w:p w:rsidR="000D2E85" w:rsidRPr="00663A85" w:rsidRDefault="000D2E85" w:rsidP="000D2E8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3A85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А также избавляется от излишней стеснительности, боязни общества, комплекса "взгляда со стороны", приобретает общительность, открытость, бережное отношение к музыкальным инструментам, голосу, ответственность перед коллективом.</w:t>
      </w:r>
    </w:p>
    <w:p w:rsidR="00E8631A" w:rsidRDefault="00E8631A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Default="000D2E85"/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  <w:r w:rsidRPr="000D2E85">
        <w:rPr>
          <w:rFonts w:eastAsia="Times New Roman"/>
          <w:b/>
          <w:sz w:val="32"/>
          <w:szCs w:val="32"/>
          <w:lang w:eastAsia="ru-RU"/>
        </w:rPr>
        <w:lastRenderedPageBreak/>
        <w:t xml:space="preserve">               </w:t>
      </w: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  <w:r w:rsidRPr="000D2E85">
        <w:rPr>
          <w:rFonts w:eastAsia="Times New Roman"/>
          <w:b/>
          <w:sz w:val="32"/>
          <w:szCs w:val="32"/>
          <w:lang w:eastAsia="ru-RU"/>
        </w:rPr>
        <w:t xml:space="preserve">                      Тематическое планирование 1-4 классы.</w:t>
      </w: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            к</w:t>
      </w:r>
      <w:bookmarkStart w:id="0" w:name="_GoBack"/>
      <w:bookmarkEnd w:id="0"/>
      <w:r w:rsidRPr="000D2E85">
        <w:rPr>
          <w:rFonts w:eastAsia="Times New Roman"/>
          <w:b/>
          <w:sz w:val="32"/>
          <w:szCs w:val="32"/>
          <w:lang w:eastAsia="ru-RU"/>
        </w:rPr>
        <w:t>урс</w:t>
      </w:r>
      <w:r>
        <w:rPr>
          <w:rFonts w:eastAsia="Times New Roman"/>
          <w:b/>
          <w:sz w:val="32"/>
          <w:szCs w:val="32"/>
          <w:lang w:eastAsia="ru-RU"/>
        </w:rPr>
        <w:t>а</w:t>
      </w:r>
      <w:r w:rsidRPr="000D2E85">
        <w:rPr>
          <w:rFonts w:eastAsia="Times New Roman"/>
          <w:b/>
          <w:sz w:val="32"/>
          <w:szCs w:val="32"/>
          <w:lang w:eastAsia="ru-RU"/>
        </w:rPr>
        <w:t xml:space="preserve"> внеурочной деятельности «Весёлые нотки»</w:t>
      </w:r>
    </w:p>
    <w:p w:rsidR="000D2E85" w:rsidRPr="000D2E85" w:rsidRDefault="000D2E85" w:rsidP="000D2E85">
      <w:pPr>
        <w:widowControl/>
        <w:rPr>
          <w:rFonts w:eastAsia="Times New Roman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  <w:r w:rsidRPr="000D2E85">
        <w:rPr>
          <w:rFonts w:eastAsia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7"/>
        <w:tblpPr w:leftFromText="180" w:rightFromText="180" w:vertAnchor="page" w:horzAnchor="margin" w:tblpXSpec="center" w:tblpY="3927"/>
        <w:tblW w:w="8124" w:type="dxa"/>
        <w:tblLook w:val="04A0" w:firstRow="1" w:lastRow="0" w:firstColumn="1" w:lastColumn="0" w:noHBand="0" w:noVBand="1"/>
      </w:tblPr>
      <w:tblGrid>
        <w:gridCol w:w="1854"/>
        <w:gridCol w:w="9"/>
        <w:gridCol w:w="4407"/>
        <w:gridCol w:w="1854"/>
      </w:tblGrid>
      <w:tr w:rsidR="000D2E85" w:rsidRPr="000D2E85" w:rsidTr="002321AE">
        <w:trPr>
          <w:trHeight w:val="96"/>
        </w:trPr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  <w:t>№</w:t>
            </w:r>
          </w:p>
        </w:tc>
        <w:tc>
          <w:tcPr>
            <w:tcW w:w="4416" w:type="dxa"/>
            <w:gridSpan w:val="2"/>
          </w:tcPr>
          <w:p w:rsidR="000D2E85" w:rsidRPr="000D2E85" w:rsidRDefault="000D2E85" w:rsidP="000D2E8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  <w:t>Раздел</w:t>
            </w:r>
          </w:p>
        </w:tc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b/>
                <w:sz w:val="28"/>
                <w:szCs w:val="28"/>
              </w:rPr>
              <w:t>Кол-во часов</w:t>
            </w:r>
          </w:p>
        </w:tc>
      </w:tr>
      <w:tr w:rsidR="000D2E85" w:rsidRPr="000D2E85" w:rsidTr="002321AE">
        <w:trPr>
          <w:trHeight w:val="774"/>
        </w:trPr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1-5</w:t>
            </w:r>
          </w:p>
        </w:tc>
        <w:tc>
          <w:tcPr>
            <w:tcW w:w="4416" w:type="dxa"/>
            <w:gridSpan w:val="2"/>
          </w:tcPr>
          <w:p w:rsidR="000D2E85" w:rsidRPr="000D2E85" w:rsidRDefault="000D2E85" w:rsidP="000D2E85">
            <w:pPr>
              <w:widowControl/>
              <w:spacing w:after="19" w:line="240" w:lineRule="auto"/>
              <w:ind w:left="360"/>
              <w:jc w:val="center"/>
              <w:rPr>
                <w:rFonts w:asciiTheme="minorHAnsi" w:eastAsia="Times New Roman" w:hAnsiTheme="minorHAnsi" w:cstheme="minorBidi"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i/>
                <w:sz w:val="28"/>
                <w:szCs w:val="28"/>
              </w:rPr>
              <w:t>«Пение как вид искусства»</w:t>
            </w:r>
          </w:p>
          <w:p w:rsidR="000D2E85" w:rsidRPr="000D2E85" w:rsidRDefault="000D2E85" w:rsidP="000D2E8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val="en-US"/>
              </w:rPr>
            </w:pPr>
          </w:p>
        </w:tc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val="en-US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  <w:lang w:val="en-US"/>
              </w:rPr>
              <w:t>5</w:t>
            </w:r>
          </w:p>
        </w:tc>
      </w:tr>
      <w:tr w:rsidR="000D2E85" w:rsidRPr="000D2E85" w:rsidTr="002321AE">
        <w:trPr>
          <w:trHeight w:val="1268"/>
        </w:trPr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6-8</w:t>
            </w:r>
          </w:p>
        </w:tc>
        <w:tc>
          <w:tcPr>
            <w:tcW w:w="4416" w:type="dxa"/>
            <w:gridSpan w:val="2"/>
          </w:tcPr>
          <w:p w:rsidR="000D2E85" w:rsidRPr="000D2E85" w:rsidRDefault="000D2E85" w:rsidP="000D2E85">
            <w:pPr>
              <w:widowControl/>
              <w:spacing w:after="0" w:line="281" w:lineRule="auto"/>
              <w:ind w:left="360"/>
              <w:jc w:val="center"/>
              <w:rPr>
                <w:rFonts w:asciiTheme="minorHAnsi" w:eastAsia="Times New Roman" w:hAnsiTheme="minorHAnsi" w:cstheme="minorBidi"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i/>
                <w:sz w:val="28"/>
                <w:szCs w:val="28"/>
              </w:rPr>
              <w:t>«Музыкальные термины и понятия»</w:t>
            </w:r>
          </w:p>
          <w:p w:rsidR="000D2E85" w:rsidRPr="000D2E85" w:rsidRDefault="000D2E85" w:rsidP="000D2E8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3</w:t>
            </w:r>
          </w:p>
        </w:tc>
      </w:tr>
      <w:tr w:rsidR="000D2E85" w:rsidRPr="000D2E85" w:rsidTr="002321AE">
        <w:trPr>
          <w:trHeight w:val="774"/>
        </w:trPr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9-12</w:t>
            </w:r>
          </w:p>
        </w:tc>
        <w:tc>
          <w:tcPr>
            <w:tcW w:w="4416" w:type="dxa"/>
            <w:gridSpan w:val="2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i/>
                <w:sz w:val="28"/>
                <w:szCs w:val="28"/>
              </w:rPr>
              <w:t>«Развитие ритмического слуха»</w:t>
            </w:r>
          </w:p>
        </w:tc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4</w:t>
            </w:r>
          </w:p>
        </w:tc>
      </w:tr>
      <w:tr w:rsidR="000D2E85" w:rsidRPr="000D2E85" w:rsidTr="002321AE">
        <w:trPr>
          <w:trHeight w:val="1175"/>
        </w:trPr>
        <w:tc>
          <w:tcPr>
            <w:tcW w:w="1854" w:type="dxa"/>
            <w:tcBorders>
              <w:right w:val="single" w:sz="4" w:space="0" w:color="auto"/>
            </w:tcBorders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</w:rPr>
              <w:t>13-17</w:t>
            </w:r>
          </w:p>
        </w:tc>
        <w:tc>
          <w:tcPr>
            <w:tcW w:w="44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D2E85" w:rsidRPr="000D2E85" w:rsidRDefault="000D2E85" w:rsidP="000D2E85">
            <w:pPr>
              <w:widowControl/>
              <w:spacing w:after="0" w:line="282" w:lineRule="auto"/>
              <w:ind w:left="360"/>
              <w:jc w:val="center"/>
              <w:rPr>
                <w:rFonts w:asciiTheme="minorHAnsi" w:eastAsia="Times New Roman" w:hAnsiTheme="minorHAnsi" w:cstheme="minorBidi"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i/>
                <w:sz w:val="28"/>
                <w:szCs w:val="28"/>
              </w:rPr>
              <w:t>«Развитие певческих способностей»</w:t>
            </w:r>
          </w:p>
          <w:p w:rsidR="000D2E85" w:rsidRPr="000D2E85" w:rsidRDefault="000D2E85" w:rsidP="000D2E8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val="en-US"/>
              </w:rPr>
            </w:pPr>
            <w:r w:rsidRPr="000D2E85">
              <w:rPr>
                <w:rFonts w:ascii="Times New Roman" w:eastAsia="Times New Roman" w:hAnsi="Times New Roman" w:cstheme="minorBidi"/>
                <w:sz w:val="28"/>
                <w:szCs w:val="28"/>
                <w:lang w:val="en-US"/>
              </w:rPr>
              <w:t>5</w:t>
            </w:r>
          </w:p>
        </w:tc>
      </w:tr>
      <w:tr w:rsidR="000D2E85" w:rsidRPr="000D2E85" w:rsidTr="00232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863" w:type="dxa"/>
            <w:gridSpan w:val="2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Theme="minorHAnsi" w:eastAsia="Times New Roman" w:hAnsiTheme="minorHAnsi" w:cstheme="minorBidi"/>
                <w:b/>
                <w:sz w:val="28"/>
                <w:szCs w:val="28"/>
                <w:lang w:val="en-US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4407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Theme="minorHAnsi" w:eastAsia="Times New Roman" w:hAnsiTheme="minorHAnsi" w:cstheme="minorBidi"/>
                <w:b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sz w:val="28"/>
                <w:szCs w:val="28"/>
              </w:rPr>
              <w:t>ИТОГО</w:t>
            </w:r>
          </w:p>
        </w:tc>
        <w:tc>
          <w:tcPr>
            <w:tcW w:w="1854" w:type="dxa"/>
          </w:tcPr>
          <w:p w:rsidR="000D2E85" w:rsidRPr="000D2E85" w:rsidRDefault="000D2E85" w:rsidP="000D2E85">
            <w:pPr>
              <w:widowControl/>
              <w:spacing w:after="0" w:line="240" w:lineRule="auto"/>
              <w:ind w:left="360"/>
              <w:jc w:val="center"/>
              <w:rPr>
                <w:rFonts w:asciiTheme="minorHAnsi" w:eastAsia="Times New Roman" w:hAnsiTheme="minorHAnsi" w:cstheme="minorBidi"/>
                <w:b/>
                <w:sz w:val="28"/>
                <w:szCs w:val="28"/>
              </w:rPr>
            </w:pPr>
            <w:r w:rsidRPr="000D2E85">
              <w:rPr>
                <w:rFonts w:asciiTheme="minorHAnsi" w:eastAsia="Times New Roman" w:hAnsiTheme="minorHAnsi" w:cstheme="minorBidi"/>
                <w:b/>
                <w:sz w:val="28"/>
                <w:szCs w:val="28"/>
              </w:rPr>
              <w:t>17</w:t>
            </w:r>
          </w:p>
        </w:tc>
      </w:tr>
    </w:tbl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  <w:r w:rsidRPr="000D2E85">
        <w:rPr>
          <w:rFonts w:eastAsia="Times New Roman"/>
          <w:b/>
          <w:sz w:val="28"/>
          <w:szCs w:val="28"/>
          <w:lang w:eastAsia="ru-RU"/>
        </w:rPr>
        <w:t xml:space="preserve">        </w:t>
      </w: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        </w:t>
      </w:r>
    </w:p>
    <w:p w:rsidR="000D2E85" w:rsidRPr="000D2E85" w:rsidRDefault="000D2E85" w:rsidP="000D2E85">
      <w:pPr>
        <w:widowControl/>
        <w:rPr>
          <w:rFonts w:eastAsia="Times New Roman"/>
          <w:b/>
          <w:sz w:val="28"/>
          <w:szCs w:val="28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</w:p>
    <w:p w:rsidR="000D2E85" w:rsidRPr="000D2E85" w:rsidRDefault="000D2E85" w:rsidP="000D2E85">
      <w:pPr>
        <w:widowControl/>
        <w:rPr>
          <w:rFonts w:eastAsia="Times New Roman"/>
          <w:b/>
          <w:sz w:val="32"/>
          <w:szCs w:val="32"/>
          <w:lang w:eastAsia="ru-RU"/>
        </w:rPr>
      </w:pPr>
    </w:p>
    <w:p w:rsidR="000D2E85" w:rsidRDefault="000D2E85"/>
    <w:sectPr w:rsidR="000D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92E69"/>
    <w:multiLevelType w:val="hybridMultilevel"/>
    <w:tmpl w:val="552AAA1E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C22C2"/>
    <w:multiLevelType w:val="multilevel"/>
    <w:tmpl w:val="679058DA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30" w:hanging="840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620" w:hanging="84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2010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6A"/>
    <w:rsid w:val="000D2E85"/>
    <w:rsid w:val="00E8631A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A747"/>
  <w15:chartTrackingRefBased/>
  <w15:docId w15:val="{78EB27EC-0C4B-412D-BDD4-B2E21A64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E85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59"/>
    <w:rsid w:val="000D2E8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D2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2036</Words>
  <Characters>11606</Characters>
  <Application>Microsoft Office Word</Application>
  <DocSecurity>0</DocSecurity>
  <Lines>96</Lines>
  <Paragraphs>27</Paragraphs>
  <ScaleCrop>false</ScaleCrop>
  <Company/>
  <LinksUpToDate>false</LinksUpToDate>
  <CharactersWithSpaces>13615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2023-11-19T22:55:00Z</dcterms:created>
  <dcterms:modified xsi:type="dcterms:W3CDTF">2023-11-19T22:57:00Z</dcterms:modified>
</cp:coreProperties>
</file>