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5BE" w:rsidRDefault="005B05BE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Рабочая программа курса внеурочной деятельности «Профориентация»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 xml:space="preserve"> ПОЯСНИТЕЛЬНАЯ ЗАПИСКА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Актуальность и назначение программы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Программа разработана в соответствии с требованиями 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 планируемых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результатов  освоения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Программы основного общего образования с учётом выбора участниками образовательных отношений курсов внеурочной деятельности.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за его пределами 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Актуальность реализации данной программы обусловлена потребностью подростков в самоопределении, в том числе в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определении  сферы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будущей  профессиональной  деятельности А это влечёт за собой необходимость в педагогическом сопровождении профессионального самоопределения школьников, в развитии мотивации школьника к осуществлению трудовой деятельности, в формировании готовности школьников к выбору профессионального пути и к обучению  в  течение  всей  жизни.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Работа по программе внеурочной деятельности «Профориентация» позволит педагогу реализовать эти актуальные для личностного развития учащегося задачи. 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Программа востребована как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школьниками,  которые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планируют после окончания основной школы продолжить обучение в колледжах и техникумах, так и теми, кто планирует получить среднее образование в стенах школы.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Сегодня профессионалу любой сферы деятельности необходимо владеть набором универсальных навыков, поэтому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программа  ориентирована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на всех школьников вне зависимости от профиля (направленности) предполагаемой будущей профессии.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Цели изучения курса внеурочной деятельности «Профориентация</w:t>
      </w:r>
      <w:r w:rsidRPr="00025FCB">
        <w:rPr>
          <w:rFonts w:ascii="Times New Roman" w:eastAsia="Cambria" w:hAnsi="Times New Roman" w:cs="Times New Roman"/>
          <w:sz w:val="24"/>
          <w:szCs w:val="24"/>
        </w:rPr>
        <w:t>»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Курс внеурочной деятельности «Профориентация» нацелен на помощь учащемуся:</w:t>
      </w:r>
    </w:p>
    <w:p w:rsidR="00025FCB" w:rsidRPr="00025FCB" w:rsidRDefault="00025FCB" w:rsidP="00025FC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в освоении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надпрофессиональных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компетенций (навыков общения, навыков работы в команде, навыков поведения в конфликтной ситуации, навыков сотрудничества, навыков принятия решений и ответственности за них т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д )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. Эти навыки являются важными для любой профессии, владение ими позволит учащемуся в будущем реализовать себя как в профессиональной сфере, так и в личной жизни;</w:t>
      </w:r>
    </w:p>
    <w:p w:rsidR="00025FCB" w:rsidRPr="00025FCB" w:rsidRDefault="00025FCB" w:rsidP="00025FC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 ориентации в мире профессий и в способах получения профессионального образования.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Это позволит учащемуся в большей степени самостоятельно делать выборы в </w:t>
      </w:r>
      <w:proofErr w:type="spellStart"/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професси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-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ональной</w:t>
      </w:r>
      <w:proofErr w:type="spellEnd"/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сфере, объективнее оценивать свои шансы на получение профессии, корректировать свой школьный образовательный маршрут;</w:t>
      </w:r>
    </w:p>
    <w:p w:rsidR="00025FCB" w:rsidRPr="00025FCB" w:rsidRDefault="00025FCB" w:rsidP="00025FCB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 познании себя, своих мотивов, устремлений, склонностей.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Эти навыки помогут учащемуся стать увереннее в себе, честнее с самим собой, понимать и оценивать степень влияния других людей на свои решения, в том числе в сфере выбора профессии;</w:t>
      </w:r>
    </w:p>
    <w:p w:rsidR="00025FCB" w:rsidRPr="00025FCB" w:rsidRDefault="00025FCB" w:rsidP="00025FCB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в формировании и развитии трёх компонентов готовности к профессиональному самоопределению: мотивационно-личностного (смыслового), когнитивного (карьерная грамотность) и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деятельностного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>;</w:t>
      </w:r>
    </w:p>
    <w:p w:rsidR="00025FCB" w:rsidRPr="00025FCB" w:rsidRDefault="00025FCB" w:rsidP="00025FCB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 планировании жизненного и профессионального пути.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Это позволит учащемуся строить образ своего будущего, видеть задачи, которые предстоит решить для достижения этого образа;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 поддержании мотивации учащегося к осуществлению трудовой деятельности.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Это позволит ему видеть социальный характер любого труда, понимать естественность каждодневных усилий как для повышения своего будущего профессионального уровня, так и для обычного труда в семье, во дворе своего дома.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Место курса внеурочной деятельности «Профориентация» в учебном плане.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lastRenderedPageBreak/>
        <w:t>Программа будет реализована в работе со школьника</w:t>
      </w:r>
      <w:r w:rsidR="00AB2A49">
        <w:rPr>
          <w:rFonts w:ascii="Times New Roman" w:eastAsia="Cambria" w:hAnsi="Times New Roman" w:cs="Times New Roman"/>
          <w:sz w:val="24"/>
          <w:szCs w:val="24"/>
        </w:rPr>
        <w:t>ми 5,6,7,8, и 9</w:t>
      </w: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классов. </w:t>
      </w:r>
    </w:p>
    <w:p w:rsidR="00025FCB" w:rsidRPr="00025FCB" w:rsidRDefault="00AB2A49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Программа курса рассчитана на 34 часа</w:t>
      </w:r>
      <w:r w:rsidR="00025FCB" w:rsidRPr="00025FCB">
        <w:rPr>
          <w:rFonts w:ascii="Times New Roman" w:eastAsia="Cambria" w:hAnsi="Times New Roman" w:cs="Times New Roman"/>
          <w:sz w:val="24"/>
          <w:szCs w:val="24"/>
        </w:rPr>
        <w:t xml:space="preserve">, в рамках которых предусмотрены такие формы работы, как беседы, дискуссии, мастер-классы, экскурсии на производство, решения кейсов, встречи с представителями разных профессий, коммуникативные и деловые игры, консультации педагога и психолога 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Программа будет реализована со школьниками </w:t>
      </w:r>
      <w:r w:rsidR="00AB2A49">
        <w:rPr>
          <w:rFonts w:ascii="Times New Roman" w:eastAsia="Cambria" w:hAnsi="Times New Roman" w:cs="Times New Roman"/>
          <w:sz w:val="24"/>
          <w:szCs w:val="24"/>
        </w:rPr>
        <w:t>5,6,7,</w:t>
      </w:r>
      <w:r w:rsidRPr="00025FCB">
        <w:rPr>
          <w:rFonts w:ascii="Times New Roman" w:eastAsia="Cambria" w:hAnsi="Times New Roman" w:cs="Times New Roman"/>
          <w:sz w:val="24"/>
          <w:szCs w:val="24"/>
        </w:rPr>
        <w:t>8 и 9 классов в течение двух лет.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Занятия проводятся 1 раз в неделю. 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Взаимосвязь с программой воспитания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Программа курса внеурочной деятельности разработана с учётом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рекомендаций  Федеральной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 программы  воспитания   Это  позволяет на практике соединить  обучающую  и  воспитательную деятельность педагога, ориентировать её не только на интеллектуальное, но и на нравственное, социальное  развитие учащегося Это проявляется: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 приоритете личностных результатов реализации программы внеурочной деятельности, нашедших своё отражение и конкретизацию в федеральной программе воспитания;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 возможности включения школьников в деятельность, организуемую образовательной организацией в рамках модуля «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Профориентация»  программы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воспитания;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в возможности комплектования разновозрастных групп для организации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профориентационной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деятельности школьников, воспитательное значение которых отмечается в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федеральнойй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программе воспитания;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в интерактивных формах занятий для школьников,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обеспечивающих  большую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их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вовлечённость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в совместную с педагогом и другими детьми деятельность и возможность образования на её основе  детско-взрослых  общностей,  ключевое  значение которых  для  воспитания   подчёркивается   Федеральной  программой воспитания.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left="227" w:right="5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Особенности работы педагога по программе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Задача педагога состоит в том, чтобы сопровождать процесс профессиональной ориентации школьника, раскрывая потен-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циал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каждого через вовлечение в многообразную деятельность, организованную в разных формах При этом результатом работы педагога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  первую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очередь  является  личностное  развитие учащегося.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Личностных  результатов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педагог  может  достичь, увлекая учащегося совместной и интересной им обоим деятельностью, устанавливая во время занятий доброжелательную, поддерживающую атмосферу, насыщая занятия ценностным содержанием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Схема проведения занятий по программе может быть такой: приветствие школьников; эмоциональная разрядка (короткие игры, маленькая притча, размышления учащихся о предложенном высказывании или цитате и т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 )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;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проблематизация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темы предстоящего занятия; работа по теме занятия; рефлексия.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Особенностью занятий являются их интерактивность и многообразие  используемых  педагогом  форм  работы:  в  ходе даже одного занятия педагог может чередовать разнообразные игры, групповую работу, обмен мнениями, самостоятельную работу, дискуссии Кроме того, программа предусматривает организацию экскурсий,   мастер-классов,  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профориентационных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  проб, проведение которых будет более успешным при участии самих школьников в их организации, при участии  других  педагогов школы, родителей и социальных партнёров школы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 приложении к программе содержатся методические рекомендации в помощь педагогу, помогающие ему грамотно организовать деятельность школьников по профессиональному ориентированию.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 xml:space="preserve"> СОДЕРЖАНИЕ ПРОГРАММЫ </w:t>
      </w:r>
      <w:proofErr w:type="gramStart"/>
      <w:r w:rsidRPr="00025FCB">
        <w:rPr>
          <w:rFonts w:ascii="Times New Roman" w:eastAsia="Cambria" w:hAnsi="Times New Roman" w:cs="Times New Roman"/>
          <w:b/>
          <w:sz w:val="24"/>
          <w:szCs w:val="24"/>
        </w:rPr>
        <w:t>КУРСА  ВНЕУРОЧНОЙ</w:t>
      </w:r>
      <w:proofErr w:type="gramEnd"/>
      <w:r w:rsidRPr="00025FCB">
        <w:rPr>
          <w:rFonts w:ascii="Times New Roman" w:eastAsia="Cambria" w:hAnsi="Times New Roman" w:cs="Times New Roman"/>
          <w:b/>
          <w:sz w:val="24"/>
          <w:szCs w:val="24"/>
        </w:rPr>
        <w:t xml:space="preserve"> ДЕЯТЕЛЬНОСТИ «ПРОФОРИЕНТАЦИЯ».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lastRenderedPageBreak/>
        <w:t xml:space="preserve">Раздел 1. Введение в курс внеурочной деятельности «Профориентация» 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Знакомство участников программы Игры и упражнения,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помогающие  познакомиться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Ожидания  каждого школьника  и  группы в целом от совместной работы.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Понятие «профессия». О чём люди думают прежде всего, когда задумываются о будущей профессии. Одна профессия на всю жизнь или сто профессий на одну жизнь.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Примеры профессиональных судеб известных учёных, писателей, изобретателей, артистов. Развилки на профессиональном пути. Особенности современного рынка труда страны и региона Профессии прошлого, настоящего, будущего Профессии членов семей школьников и педагогических   работников   школы.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С чего начать проектирование   собственного   профессионального   пути.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Первый выбор, связанный с будущей профессией, который делает школьник после получения аттестата об основном общем образовании.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Собственный ранжированный список предпочитаемых профессий: первая версия.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Профессии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людей,  с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которыми  учащиеся  сталкиваются  по пути из дома в школу.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Общее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и  особенное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каждой профессии.  Что важно для людей любой профессии. Профессиональные и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надпрофессиональные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навыки. Современные исследования об определяющей роли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надпрофессиональных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навыков человека для поиска работы, карьерного роста, самореализации в профессии. Профессии, которые ушли в прошлое.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 xml:space="preserve">Раздел 2. Универсальные навыки 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Вербальная и невербальная коммуникация и их роль в профессиональной жизни человека. 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Устная  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письменная  речь.  Нужно ли профессионалу быть грамотным?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Общение  как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умение  не только высказывать  свои  мысли,  но  и  слушать  чужие. Невербальные средства общения.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Жесты,  мимика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,  телодвижения как источник информации о человеке (например, для  потенциального работодателя). Влияние интонации на слушателя. Эффективная коммуникация. Что значит быть «активным слушателем»? Основные правила делового этикета. Составление перечня профессий, для представителей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которых  навык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коммуникации является приоритетным.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Понимание  как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основа  взаимоотношений   между   людьми. Умение поставить себя на место другого человека.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Эмпатия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как способность человека осознанно сопереживать эмоциональному состоянию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других  людей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. 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Перечень  профессий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,  для  представителей которых важно обладать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эмпатией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. О чём говорят поступки человека. Личная страница в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соцсетях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как возможность понять других людей.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Что такое «личное пространство человека». Значение личного пространства для самочувствия, настроения, работоспособности человека. Почему нас раздражает переполненный транспорт или давка в очереди. Дистанции в общении. Нарушение личных границ.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Способы  сохранения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личных  границ  в  личной   и профессиональной сфере.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Чем опасен конфликт в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профессиональной  жизни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человека? Польза конфликта. Нужно ли и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как  избегать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конфликтных  ситуаций? Конфликт как стимул к дальнейшему развитию. Конструктивный и деструктивный путь развития конфликта.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«Я-высказывания» против «ты-высказываний». Способы взаимодействия в конфликте. Ролевые игры, помогающие получить навык разрешения конфликта. «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Конфликтоёмкие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» профессии. Влияние профессии на здоровье человека. Профессиональные риски, возникающие не только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в 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травмоопасном</w:t>
      </w:r>
      <w:proofErr w:type="spellEnd"/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проиводстве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. Риск возникновения заболеваний, связанных с профессией. 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Способы  профилактики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 xml:space="preserve">Раздел 3. Какой я? 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Что мы наследуем от предков и что приобретаем в процессе развития. 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Учёт  психологических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особенностей  человека  в  процессе выбора профессии.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Игры, развивающие внимание, память, логику, абстрактное и критическое мышление. Правила командных игр. Профессии,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требующие  максимальной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концентрации внимания.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Способность к самопознанию как особенность человека. Возникновение лженаук астрологии и нумерологии как ответ на запрос человека о познании себя. Способы получения знаний о себе «Я» в зеркале «другого». Понимание себя как одно из условий </w:t>
      </w:r>
      <w:r w:rsidRPr="00025FCB">
        <w:rPr>
          <w:rFonts w:ascii="Times New Roman" w:eastAsia="Cambria" w:hAnsi="Times New Roman" w:cs="Times New Roman"/>
          <w:sz w:val="24"/>
          <w:szCs w:val="24"/>
        </w:rPr>
        <w:lastRenderedPageBreak/>
        <w:t>успешного профессионального самоопределения. Профессии «психолог» и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«психотерапевт». Шуточные и серьёзные психологические и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профориентационные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тесты.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О точности их   результатов. Экстремальные ситуации и «экстремальные» профессии.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Какое впечатление мы производим на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людей  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какое  впечатление люди производят на нас. Внешняя красота и внутренняя. Проблема неравенства при приёме на работу.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Кому и когда важно презентовать себя. На что обращают внимание при первом знакомстве во время приёма на работу. Язык тела. Грамотная речь как ресурс человека. Создание собственного стиля и уместность его демонстрации при приёме на работу. Резюме — что это такое и как его составить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Раздел 4. Образовательная траектория.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Ошибки, которые мы совершаем в жизни.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Причины  ошибок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. Ошибка в выборе профессии и её последствия. Как не ошибиться в выборе колледжа, вуза, профессии. Пути исправления ошибок.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Ориентация на собственное будущее как залог сегодняшних успехов. Построение траектории собственной жизни. Сегодняшние успехи и достижения. Факторы, влияющие на успех в карьере. Примеры траекторий становления известных людей мира, страны, города.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Большая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профориентационная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игра как способ конструирования школьником собственного образовательного и профессионального маршрута. Этапы проведения игры. Цели и задачи игры.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Раздел 5. Профессиональные возможности нашего региона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Обзор учреждений среднего профессионального образования региона: место расположения, проходной балл, направления подготовки, бюджетные, внебюджетные и целевые места, возможности трудоустройства после окончания. Встреча с приглашённым в школу директором, преподавателем или студентом колледжа, куда часто поступают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выпускники  9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класса  школы. Судьбы выпускников школы, окончивших колледжи региона.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Экскурсия по территории колледжа, знакомство с условиями поступления и обучения в колледже, беседы, интервью.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Обзор учреждений высшего профессионального образования региона: место расположения, проходной балл прошлого года на разные факультеты, направления подготовки, возможности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трудоустройства  после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окончания  вуза. 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Встреча  с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представителями вузов, куда часто поступают выпускники 11 класса школы. Судьбы выпускников школы, окончивших вузы региона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  разные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годы. Поиск нужной информации на сайтах вузов.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Обзор  ведущих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 предприятий   региона.   Профессиональные судьбы людей региона. Встреча с родителями школьников, работающими на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предприятиях  региона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. 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Потребность  региона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в кадрах, динамика роста заработной платы в регионе, социальные гарантии, перспективы карьерного роста и повышения  квалификации в своём регионе и в соседних регионах.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Проведение  экскурсии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на  одно  из предприятий  региона.  Встреча с представителями предприятия Блиц-интервью Мастер- класс/тренажёр, позволяющие получить представление об отдельных элементах профессии. Создание работ к онлайн-вернисажу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«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Лучшая  фотография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с  производства».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Профессиональные,  предметные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конкурсы  и  олимпиады,   их роль в поступлении в вуз или колледж, их  роль  в  профессиональном самоопределении.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Гранты и проекты региона и страны, которые могут быть интересны школьнику и которые могут помочь в запуске собственного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стартапа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>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 xml:space="preserve">Раздел 6. Проба профессии 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Окончание 9 класса и первый профессиональный выбор школьника. Что и кто влияет на выбор дальнейшего образовательного и профессионального пути. Значение ОГЭ для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буду- щей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профессиональной карьеры. «Примерка» профессий.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 Профессиональная проба — что это такое.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Профессиональная проба «Интервью». Основные направления деятельности журналиста Жанры в журналистике. (Здесь и далее приведены лишь три возможных (но не обязательных) варианта профессиональных проб.) 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Профессиональные качества и этика журналиста. Особенности работы в периодической печати, особенности новостной информации и её виды. Поиск информации и особенности работы корреспондента. Российский закон о праве на частную жизнь. Жанр интервью. Типы интервью: о событии, о личности, о мнении. Подготовка и проведение интервью, обработка информации и подготовка к публикации, комментарии.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Профессиональная проба «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Фитодизайн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».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Фитодизайн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и взаимосвязь между здоровьем человека и растением. Цели и задачи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фитодизайна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>. Характеристика основных типов интерьера. Температурно-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влажностный  режим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. 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Краткая  характеристика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видового состава тропических и  субтропических  растений  в основных типах интерьеров. Биологическая совместимость растений. Художественно-эстетическое равновесие композиций из растений Группа профессий, связанных с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фитодизайном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>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Профессиональная  проба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«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Экспозиционер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». 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Основные  сведения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о  сфере   профессиональной   деятельности  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экспозиционера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. Музейная экспозиция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как  основная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форма  музейной  коммуникации. Профессионально важные качества, необходимые для музееведческой сферы деятельности. Знания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  области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музееведения, культурологии и истории искусства, способы их приобретения. Группа профессий, связанных с музееведением.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Итоги изучения курса внеурочной деятельности «Профориентация» Основные эмоции, знания, выводы, сомнения, открытия. Список предпочитаемых профессий: вторая версия.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left="227" w:right="57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 xml:space="preserve"> ПЛАНИРУЕМЫЕ РЕЗУЛЬТАТЫ ОСВОЕНИЯ КУРСА ВНЕУРОЧНОЙ ДЕЯТЕЛЬНОСТИ «ПРОФОРИЕНТАЦИЯ».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left="227" w:right="57"/>
        <w:rPr>
          <w:rFonts w:ascii="Times New Roman" w:eastAsia="Cambria" w:hAnsi="Times New Roman" w:cs="Times New Roman"/>
          <w:b/>
          <w:sz w:val="24"/>
          <w:szCs w:val="24"/>
        </w:rPr>
      </w:pP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ab/>
        <w:t xml:space="preserve">Занятия в рамках программы направлены на обеспечение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достижения  школьниками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следующих  личностных, 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метапредметных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и предметных образовательных результатов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Личностные результаты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гражданского воспитания:</w:t>
      </w:r>
    </w:p>
    <w:p w:rsidR="00025FCB" w:rsidRPr="00025FCB" w:rsidRDefault="00025FCB" w:rsidP="00025FCB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готовность к выполнению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обязанностей  гражданина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и  реализации его прав, уважение прав, свобод и законных  интересов других людей, с которыми школьникам предстоит взаимодействовать в рамках реализации программы «Профориентация»;</w:t>
      </w:r>
    </w:p>
    <w:p w:rsidR="00025FCB" w:rsidRPr="00025FCB" w:rsidRDefault="00025FCB" w:rsidP="00025FCB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готовность к разнообразной совместной деятельности;</w:t>
      </w:r>
    </w:p>
    <w:p w:rsidR="00025FCB" w:rsidRPr="00025FCB" w:rsidRDefault="00025FCB" w:rsidP="00025FCB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выстраивание  доброжелательных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отношений  с  участниками курса на основе взаимопонимания и взаимопомощи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патриотического воспитания:</w:t>
      </w:r>
    </w:p>
    <w:p w:rsidR="00025FCB" w:rsidRPr="00025FCB" w:rsidRDefault="00025FCB" w:rsidP="00025FCB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к  познанию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истории,  культуры  Российской  Федерации, своего края, народов России;</w:t>
      </w:r>
    </w:p>
    <w:p w:rsidR="00025FCB" w:rsidRPr="00025FCB" w:rsidRDefault="00025FCB" w:rsidP="00025FCB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ценностное  отношение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к  достижениям  своей  Родины  — 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профориентационных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экскурсий  на предприятия своего региона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духовно-нравственного воспитания: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готовность оценивать своё поведение и поступки, поведение и поступки   других   людей   с   позиции   нравственных и правовых норм с учётом осознания последствий поступков;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lastRenderedPageBreak/>
        <w:t>осознание важности свободы и необходимости брать на себя ответственность в ситуации подготовки к выбору будущей профессии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эстетического воспитания: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стремление к самовыражению в разных видах искусства,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  том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числе прикладного;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физического воспитания, формирования культуры здоровья и эмоционального благополучия: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осознание необходимости соблюдения правил безопасности   в любой профессии, в том числе навыков безопасного поведения в интернет-среде;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ответственное отношение к своему здоровью и установка на здоровый образ жизни;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способность  адаптироваться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к  стрессовым  ситуациям, 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умение принимать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себя  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других, не  осуждая;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сформированность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 навыка  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рефлексии,   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признание   своего   права на ошибку и такого же права другого человека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трудового воспитания: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установка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на  активное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участие  в  решении  практических задач (в рамках семьи, образовательной организации, города, края) технологической и социальной направленности, способность инициировать,  планировать  и  самостоятельно  выполнять такого рода деятельность;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интерес к практическому изучению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профессий  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труда  различного рода, в том числе на основе знаний, полученных в ходе изучения курса «Профориентация»;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осознание важности обучения на протяжении всей жизни для успешной профессиональной   деятельности   и   развитие необходимых умений для этого;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готовность адаптироваться в профессиональной среде;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уважение к труду и результатам трудовой деятельности;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экологического воспитания: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осознание своей роли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как  гражданина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и потребителя в  условиях взаимосвязи  природной, технологической  и социальной среде.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 xml:space="preserve"> В сфере понимания ценности научного познания: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ориентация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  деятельности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,  связанной  с  освоением  курса «Профориентация», на современную систему научных представлений об основных закономерностях развития человека, природы и общества, взаимосвязях человека с природной и </w:t>
      </w:r>
      <w:r w:rsidRPr="00025FCB">
        <w:rPr>
          <w:rFonts w:ascii="Times New Roman" w:eastAsia="Cambria" w:hAnsi="Times New Roman" w:cs="Times New Roman"/>
          <w:sz w:val="24"/>
          <w:szCs w:val="24"/>
        </w:rPr>
        <w:lastRenderedPageBreak/>
        <w:t>социальной средой;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овладение языковой и читательской культурой как средством познания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мира,   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средством   самосовершенствования    человека, в том числе в профессиональной сфере;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адаптации к изменяющимся условиям социальной и природной среды: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освоение социального опыта, основных социальных ролей,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соответствующих  ведущей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деятельности  возраста,  норм   и правил общественного поведения, форм социальной жизни в группах и сообществах, включая семью,  группы,  сформированные по профессиональному признаку;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  разных сферах деятельности;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умение оперировать терминами и представлениями в области концепции устойчивого развития;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 умение оценивать свои действия   с учётом влияния на окружающую среду, достижений целей и преодоления вызовов, возможных глобальных последствий;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способность осознавать стрессовую ситуацию, оценивать происходящие изменения и их последствия, формулировать и оценивать риски и последствия,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формировать  опыт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,  уметь находить позитивное в произошедшей ситуации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proofErr w:type="spellStart"/>
      <w:r w:rsidRPr="00025FCB">
        <w:rPr>
          <w:rFonts w:ascii="Times New Roman" w:eastAsia="Cambria" w:hAnsi="Times New Roman" w:cs="Times New Roman"/>
          <w:b/>
          <w:sz w:val="24"/>
          <w:szCs w:val="24"/>
        </w:rPr>
        <w:t>Метапредметные</w:t>
      </w:r>
      <w:proofErr w:type="spellEnd"/>
      <w:r w:rsidRPr="00025FCB">
        <w:rPr>
          <w:rFonts w:ascii="Times New Roman" w:eastAsia="Cambria" w:hAnsi="Times New Roman" w:cs="Times New Roman"/>
          <w:b/>
          <w:sz w:val="24"/>
          <w:szCs w:val="24"/>
        </w:rPr>
        <w:t xml:space="preserve"> результаты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овладения универсальными учебными познавательными действиями: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использовать вопросы как инструмент для познания будущей профессии;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аргументировать свою позицию, мнение;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оценивать на применимость и достоверность информации, полученной в ходе работы с интернет-источниками;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обсуждения в группе или в паре;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прогнозировать возможное дальнейшее развитие   процессов, событий и их последствия, связанные с выбором будущей профессии;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выдвигать предположения о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возможном  росте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и  падении  спроса на ту или иную специальность в новых условиях;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находить сходные аргументы (подтверждающие или опровергающие одну и ту же идею, версию) в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различных  информационных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источниках;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самостоятельно выбирать оптимальную форму представления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информации,  предназначенную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для  остальных  участников курса «Профориентация»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left="227"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овладения универсальными учебными коммуникативными действиями: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воспринимать и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формулировать  суждения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в  соответствии  с целями и условиями общения в рамках  занятий,  включённых в курс «Профориентация»;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выражать  свою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точку  зрения;  распознавать  невербальные средства общения,  понимать  значение  социальных  знаков,  знать и распознавать предпосылки конфликтных ситуаций и стараться смягчать конфликты;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понимать намерения других участников занятий курса «Профориентация»,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публично  представлять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результаты  работы,  проделанной  в рамках выполнения заданий, связанных с тематикой курса по профориентации;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проблемы,  принимать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уметь обобщать мнения нескольких участников курса «Профориентация», проявлять готовность руководить, выполнять поручения, подчиняться; участвовать в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групповых  формах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работы (обсуждения, обмен мнениями, мозговые штурмы и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др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);</w:t>
      </w:r>
    </w:p>
    <w:p w:rsidR="00025FCB" w:rsidRPr="00025FCB" w:rsidRDefault="00025FCB" w:rsidP="00025FCB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выполнять свою часть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работы,  достигать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качественного  результата по своему направлению и координировать свои действия с действиями других участников курса «Профориентация»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В сфере овладения универсальными учебными регулятивными действиями:</w:t>
      </w:r>
    </w:p>
    <w:p w:rsidR="00025FCB" w:rsidRPr="00025FCB" w:rsidRDefault="00025FCB" w:rsidP="00025FCB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выявлять проблемы, возникающие в ходе выбора будущей профессии;</w:t>
      </w:r>
    </w:p>
    <w:p w:rsidR="00025FCB" w:rsidRPr="00025FCB" w:rsidRDefault="00025FCB" w:rsidP="00025FCB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  группе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,  принятие  решений группой);</w:t>
      </w:r>
    </w:p>
    <w:p w:rsidR="00025FCB" w:rsidRPr="00025FCB" w:rsidRDefault="00025FCB" w:rsidP="00025FCB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:rsidR="00025FCB" w:rsidRPr="00025FCB" w:rsidRDefault="00025FCB" w:rsidP="00025FCB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самомотивации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и рефлексии;</w:t>
      </w:r>
    </w:p>
    <w:p w:rsidR="00025FCB" w:rsidRPr="00025FCB" w:rsidRDefault="00025FCB" w:rsidP="00025FCB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предвидеть трудности, которые могут возникнуть при выборе будущей профессии;</w:t>
      </w:r>
    </w:p>
    <w:p w:rsidR="00025FCB" w:rsidRPr="00025FCB" w:rsidRDefault="00025FCB" w:rsidP="00025FCB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недостижения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>) результатов деятельности, давать оценку опыту, приобретённому в ходе прохождения курса по профориентации, уметь находить позитивное в любой ситуации;</w:t>
      </w:r>
    </w:p>
    <w:p w:rsidR="00025FCB" w:rsidRPr="00025FCB" w:rsidRDefault="00025FCB" w:rsidP="00025FCB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</w:p>
    <w:p w:rsidR="00025FCB" w:rsidRPr="00025FCB" w:rsidRDefault="00025FCB" w:rsidP="00025FCB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различать, называть и управлять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собственными  эмоциями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;</w:t>
      </w:r>
    </w:p>
    <w:p w:rsidR="00025FCB" w:rsidRPr="00025FCB" w:rsidRDefault="00025FCB" w:rsidP="00025FCB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уметь ставить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себя  на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место другого человека,  понимать  мотивы и намерения участников курса, осознанно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относитьсяк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ним.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left="227"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ПРЕДМЕТНЫЕ РЕЗУЛЬТАТЫ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      Предметные результаты освоения Программы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основного  общего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образования представлены с учётом специфики содержания предметных областей, затрагиваемых в ходе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профориентационной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деятельности школьников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lastRenderedPageBreak/>
        <w:t>Русский язык:</w:t>
      </w:r>
    </w:p>
    <w:p w:rsidR="00025FCB" w:rsidRPr="00025FCB" w:rsidRDefault="00025FCB" w:rsidP="00025FCB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формирование умений речевого взаимодействия (в том числе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 научной, художественной и научно-популярной литературы: монолог-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описание;   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монолог-рассуждение;   монолог- повествование;</w:t>
      </w:r>
    </w:p>
    <w:p w:rsidR="00025FCB" w:rsidRPr="00025FCB" w:rsidRDefault="00025FCB" w:rsidP="00025FCB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участие в диалоге разных видов: побуждение к действию, обмен мнениями, запрос информации, сообщение информации;</w:t>
      </w:r>
    </w:p>
    <w:p w:rsidR="00025FCB" w:rsidRPr="00025FCB" w:rsidRDefault="00025FCB" w:rsidP="00025FCB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обсуждение и чёткая формулировка цели, плана совместной групповой деятельности;</w:t>
      </w:r>
    </w:p>
    <w:p w:rsidR="00025FCB" w:rsidRPr="00025FCB" w:rsidRDefault="00025FCB" w:rsidP="00025FCB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извлечение информации из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различных  источников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,  её 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025FCB" w:rsidRPr="00025FCB" w:rsidRDefault="00025FCB" w:rsidP="00025FCB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создание письменных текстов различных стилей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Литература:</w:t>
      </w:r>
    </w:p>
    <w:p w:rsidR="00025FCB" w:rsidRPr="00025FCB" w:rsidRDefault="00025FCB" w:rsidP="00025FC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</w:t>
      </w:r>
      <w:proofErr w:type="spellStart"/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библиотеч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-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ных</w:t>
      </w:r>
      <w:proofErr w:type="spellEnd"/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фондах, Интернете для выполнения учебной задачи; применять ИКТ, соблюдать правила информационной безопасности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Иностранный язык:</w:t>
      </w:r>
    </w:p>
    <w:p w:rsidR="00025FCB" w:rsidRPr="00025FCB" w:rsidRDefault="00025FCB" w:rsidP="00025FC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025FCB" w:rsidRPr="00025FCB" w:rsidRDefault="00025FCB" w:rsidP="00025FC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 использовать иноязычные словари и справочники, в том числе информационно-справочные системы в электронной форме Информатика:</w:t>
      </w:r>
    </w:p>
    <w:p w:rsidR="00025FCB" w:rsidRPr="00025FCB" w:rsidRDefault="00025FCB" w:rsidP="00025FC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овладение основными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понятиями:  информация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>,  передача, хранение, обработка информации, алгоритм, модель, цифровой продукт — и их использование для решения учебных и практических задач;</w:t>
      </w:r>
    </w:p>
    <w:p w:rsidR="00025FCB" w:rsidRPr="00025FCB" w:rsidRDefault="00025FCB" w:rsidP="00025FC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умение оперировать единицами измерения информационного объёма и скорости передачи данных;</w:t>
      </w:r>
    </w:p>
    <w:p w:rsidR="00025FCB" w:rsidRPr="00025FCB" w:rsidRDefault="00025FCB" w:rsidP="00025FC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сформированность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мотивации к продолжению изучения информатики как профильного предмета на уровне среднего общего образования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left="-133"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География:</w:t>
      </w:r>
    </w:p>
    <w:p w:rsidR="00025FCB" w:rsidRPr="00025FCB" w:rsidRDefault="00025FCB" w:rsidP="00025FC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освоение и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применение  системы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знаний  о  размещении  и основных свойствах географических объектов, понимание роли географии в формировании качества жизни человека  и окружающей его среды на планете Земля, в  решении  современных практических задач своего населенного пункта;</w:t>
      </w:r>
    </w:p>
    <w:p w:rsidR="00025FCB" w:rsidRPr="00025FCB" w:rsidRDefault="00025FCB" w:rsidP="00025FC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025FCB" w:rsidRPr="00025FCB" w:rsidRDefault="00025FCB" w:rsidP="00025FC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умение использовать географические знания для описания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существенных  признаков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разнообразных  явлений  и  процессов в повседневной жизни;</w:t>
      </w:r>
    </w:p>
    <w:p w:rsidR="00025FCB" w:rsidRPr="00025FCB" w:rsidRDefault="00025FCB" w:rsidP="00025FCB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сформированность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мотивации к продолжению изучения географии как </w:t>
      </w:r>
      <w:r w:rsidRPr="00025FCB">
        <w:rPr>
          <w:rFonts w:ascii="Times New Roman" w:eastAsia="Cambria" w:hAnsi="Times New Roman" w:cs="Times New Roman"/>
          <w:sz w:val="24"/>
          <w:szCs w:val="24"/>
        </w:rPr>
        <w:lastRenderedPageBreak/>
        <w:t>профильного предмета на уровне среднего общего образования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left="227"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Физика:</w:t>
      </w:r>
    </w:p>
    <w:p w:rsidR="00025FCB" w:rsidRPr="00025FCB" w:rsidRDefault="00025FCB" w:rsidP="00025FC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</w:t>
      </w:r>
    </w:p>
    <w:p w:rsidR="00025FCB" w:rsidRPr="00025FCB" w:rsidRDefault="00025FCB" w:rsidP="00025FC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025FCB" w:rsidRPr="00025FCB" w:rsidRDefault="00025FCB" w:rsidP="00025FC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расширенные представления о сферах профессиональной деятельности, связанных с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физикой  и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современными  технологиями, основанными на достижениях физической науки, позволяющие рассматривать физико-техническую область  знаний как сферу своей будущей профессиональной деятельности;</w:t>
      </w:r>
    </w:p>
    <w:p w:rsidR="00025FCB" w:rsidRPr="00025FCB" w:rsidRDefault="00025FCB" w:rsidP="00025FC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сформированность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мотивации к продолжению изучения физики как профильного предмета на уровне среднего общего образования.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025FCB">
        <w:rPr>
          <w:rFonts w:ascii="Times New Roman" w:eastAsia="Cambria" w:hAnsi="Times New Roman" w:cs="Times New Roman"/>
          <w:b/>
          <w:sz w:val="24"/>
          <w:szCs w:val="24"/>
        </w:rPr>
        <w:t>Обществознание:</w:t>
      </w:r>
    </w:p>
    <w:p w:rsidR="00025FCB" w:rsidRPr="00025FCB" w:rsidRDefault="00025FCB" w:rsidP="00025FC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микро- экономики);</w:t>
      </w:r>
    </w:p>
    <w:p w:rsidR="00025FCB" w:rsidRPr="00025FCB" w:rsidRDefault="00025FCB" w:rsidP="00025FC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умение приводить примеры (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  том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числе  моделировать  ситуации) деятельности людей, социальных объектов, явлений, процессов определённого типа в различных сферах обществен- 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норм;</w:t>
      </w:r>
    </w:p>
    <w:p w:rsidR="00025FCB" w:rsidRPr="00025FCB" w:rsidRDefault="00025FCB" w:rsidP="00025FC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умение классифицировать по разным признакам (в том числе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устанавливать  существенный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признак  классификации) социальные объекты, явления, процессы,  относящиеся  к различным сферам общественной жизни, их существенные признаки, элементы и основные функции;</w:t>
      </w:r>
    </w:p>
    <w:p w:rsidR="00025FCB" w:rsidRPr="00025FCB" w:rsidRDefault="00025FCB" w:rsidP="00025FC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овладение приёмами поиска и извлечения социальной  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</w:t>
      </w:r>
    </w:p>
    <w:p w:rsidR="00025FCB" w:rsidRPr="00025FCB" w:rsidRDefault="00025FCB" w:rsidP="00025FCB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Биология:</w:t>
      </w:r>
    </w:p>
    <w:p w:rsidR="00025FCB" w:rsidRPr="00025FCB" w:rsidRDefault="00025FCB" w:rsidP="00025FCB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владение навыками работы с информацией биологического содержания, </w:t>
      </w:r>
      <w:r w:rsidRPr="00025FCB">
        <w:rPr>
          <w:rFonts w:ascii="Times New Roman" w:eastAsia="Cambria" w:hAnsi="Times New Roman" w:cs="Times New Roman"/>
          <w:sz w:val="24"/>
          <w:szCs w:val="24"/>
        </w:rPr>
        <w:lastRenderedPageBreak/>
        <w:t>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025FCB" w:rsidRPr="00025FCB" w:rsidRDefault="00025FCB" w:rsidP="00025FCB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умение  интегрировать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биологические  знания  со   знаниями других учебных предметов;</w:t>
      </w:r>
    </w:p>
    <w:p w:rsidR="00025FCB" w:rsidRPr="00025FCB" w:rsidRDefault="00025FCB" w:rsidP="00025FCB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интерес к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углублению  биологических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знаний  и  выбору  биологии как профильного предмета на уровне среднего общего образования для будущей профессиональной деятельности в области  биологии,  медицины,  экологии,  ветеринарии,   сельского хозяйства, пищевой промышленности, психологии,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ис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- </w:t>
      </w: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кусства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>, спорта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Изобразительное искусство:</w:t>
      </w:r>
    </w:p>
    <w:p w:rsidR="00025FCB" w:rsidRPr="00025FCB" w:rsidRDefault="00025FCB" w:rsidP="00025FCB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сформированность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выдающихся  отечественных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и  зарубежных  художниках, скульпторах и архитекторах</w:t>
      </w:r>
    </w:p>
    <w:p w:rsidR="00025FCB" w:rsidRPr="00025FCB" w:rsidRDefault="00025FCB" w:rsidP="00025FCB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left="227" w:right="57"/>
        <w:rPr>
          <w:rFonts w:ascii="Times New Roman" w:eastAsia="Cambria" w:hAnsi="Times New Roman" w:cs="Times New Roman"/>
          <w:b/>
          <w:sz w:val="24"/>
          <w:szCs w:val="24"/>
        </w:rPr>
      </w:pPr>
      <w:r w:rsidRPr="00025FCB">
        <w:rPr>
          <w:rFonts w:ascii="Times New Roman" w:eastAsia="Cambria" w:hAnsi="Times New Roman" w:cs="Times New Roman"/>
          <w:b/>
          <w:sz w:val="24"/>
          <w:szCs w:val="24"/>
        </w:rPr>
        <w:t>Основы безопасности жизнедеятельности:</w:t>
      </w:r>
    </w:p>
    <w:p w:rsidR="00025FCB" w:rsidRPr="00025FCB" w:rsidRDefault="00025FCB" w:rsidP="00025FCB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025FCB">
        <w:rPr>
          <w:rFonts w:ascii="Times New Roman" w:eastAsia="Cambria" w:hAnsi="Times New Roman" w:cs="Times New Roman"/>
          <w:sz w:val="24"/>
          <w:szCs w:val="24"/>
        </w:rPr>
        <w:t>сформированность</w:t>
      </w:r>
      <w:proofErr w:type="spell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025FCB" w:rsidRPr="00025FCB" w:rsidRDefault="00025FCB" w:rsidP="00025FCB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овладение знаниями и умениями предупреждения опасных и чрезвычайных </w:t>
      </w:r>
      <w:proofErr w:type="gramStart"/>
      <w:r w:rsidRPr="00025FCB">
        <w:rPr>
          <w:rFonts w:ascii="Times New Roman" w:eastAsia="Cambria" w:hAnsi="Times New Roman" w:cs="Times New Roman"/>
          <w:sz w:val="24"/>
          <w:szCs w:val="24"/>
        </w:rPr>
        <w:t>ситуаций  во</w:t>
      </w:r>
      <w:proofErr w:type="gramEnd"/>
      <w:r w:rsidRPr="00025FCB">
        <w:rPr>
          <w:rFonts w:ascii="Times New Roman" w:eastAsia="Cambria" w:hAnsi="Times New Roman" w:cs="Times New Roman"/>
          <w:sz w:val="24"/>
          <w:szCs w:val="24"/>
        </w:rPr>
        <w:t xml:space="preserve">  время  пребывания  в  различных средах (в помещении, на улице, на природе,  в  общественных местах и на массовых мероприятиях, при коммуникации, при воздействии рисков культурной среды)</w:t>
      </w:r>
    </w:p>
    <w:p w:rsidR="00025FCB" w:rsidRPr="00025FCB" w:rsidRDefault="00025FCB" w:rsidP="00025FCB">
      <w:pPr>
        <w:widowControl w:val="0"/>
        <w:autoSpaceDE w:val="0"/>
        <w:autoSpaceDN w:val="0"/>
        <w:spacing w:after="0" w:line="240" w:lineRule="auto"/>
        <w:ind w:left="227" w:right="57"/>
        <w:jc w:val="center"/>
        <w:rPr>
          <w:rFonts w:ascii="Times New Roman" w:eastAsia="Cambria" w:hAnsi="Times New Roman" w:cs="Times New Roman"/>
          <w:sz w:val="24"/>
          <w:szCs w:val="24"/>
        </w:rPr>
      </w:pPr>
    </w:p>
    <w:p w:rsidR="00084F45" w:rsidRDefault="004E6987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</w:t>
      </w: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084F45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084F45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084F45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084F45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084F45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Pr="00084F45">
        <w:rPr>
          <w:rFonts w:ascii="Times New Roman" w:eastAsia="Calibri" w:hAnsi="Times New Roman" w:cs="Times New Roman"/>
          <w:b/>
          <w:sz w:val="28"/>
          <w:szCs w:val="28"/>
        </w:rPr>
        <w:t xml:space="preserve">Тематическое </w:t>
      </w:r>
      <w:proofErr w:type="gramStart"/>
      <w:r w:rsidRPr="00084F45">
        <w:rPr>
          <w:rFonts w:ascii="Times New Roman" w:eastAsia="Calibri" w:hAnsi="Times New Roman" w:cs="Times New Roman"/>
          <w:b/>
          <w:sz w:val="28"/>
          <w:szCs w:val="28"/>
        </w:rPr>
        <w:t>планирование  курса</w:t>
      </w:r>
      <w:proofErr w:type="gramEnd"/>
      <w:r w:rsidRPr="00084F45">
        <w:rPr>
          <w:rFonts w:ascii="Times New Roman" w:eastAsia="Calibri" w:hAnsi="Times New Roman" w:cs="Times New Roman"/>
          <w:b/>
          <w:sz w:val="28"/>
          <w:szCs w:val="28"/>
        </w:rPr>
        <w:t xml:space="preserve">  внеурочной деятельности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</w:t>
      </w:r>
    </w:p>
    <w:p w:rsidR="00084F45" w:rsidRPr="00084F45" w:rsidRDefault="00084F45" w:rsidP="00084F45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«Профориентация»</w:t>
      </w:r>
    </w:p>
    <w:p w:rsidR="00084F45" w:rsidRPr="00084F45" w:rsidRDefault="00084F45" w:rsidP="00084F45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084F45">
        <w:rPr>
          <w:rFonts w:ascii="Times New Roman" w:eastAsia="Calibri" w:hAnsi="Times New Roman" w:cs="Times New Roman"/>
          <w:b/>
          <w:sz w:val="28"/>
          <w:szCs w:val="28"/>
        </w:rPr>
        <w:t>5-9 классы</w:t>
      </w:r>
    </w:p>
    <w:p w:rsidR="00084F45" w:rsidRP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P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Pr="00084F45" w:rsidRDefault="00084F45" w:rsidP="00084F4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pPr w:leftFromText="180" w:rightFromText="180" w:vertAnchor="page" w:horzAnchor="margin" w:tblpXSpec="center" w:tblpY="3973"/>
        <w:tblW w:w="7225" w:type="dxa"/>
        <w:tblInd w:w="0" w:type="dxa"/>
        <w:tblLook w:val="04A0" w:firstRow="1" w:lastRow="0" w:firstColumn="1" w:lastColumn="0" w:noHBand="0" w:noVBand="1"/>
      </w:tblPr>
      <w:tblGrid>
        <w:gridCol w:w="900"/>
        <w:gridCol w:w="4894"/>
        <w:gridCol w:w="1431"/>
      </w:tblGrid>
      <w:tr w:rsidR="00084F45" w:rsidRPr="00084F45" w:rsidTr="00084F45">
        <w:trPr>
          <w:trHeight w:val="2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4F4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4F45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84F4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084F45" w:rsidRPr="00084F45" w:rsidTr="00084F45">
        <w:trPr>
          <w:trHeight w:val="28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45" w:rsidRPr="00084F45" w:rsidRDefault="00084F45" w:rsidP="00084F45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8"/>
              </w:rPr>
            </w:pPr>
            <w:r w:rsidRPr="00084F45">
              <w:rPr>
                <w:rFonts w:ascii="Times New Roman" w:eastAsia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spacing w:after="200"/>
              <w:rPr>
                <w:rFonts w:ascii="Times New Roman" w:hAnsi="Times New Roman"/>
                <w:sz w:val="24"/>
              </w:rPr>
            </w:pPr>
            <w:r w:rsidRPr="00084F45">
              <w:rPr>
                <w:rFonts w:ascii="Times New Roman" w:hAnsi="Times New Roman"/>
                <w:color w:val="000000"/>
                <w:sz w:val="24"/>
              </w:rPr>
              <w:t>1 ч</w:t>
            </w:r>
          </w:p>
        </w:tc>
      </w:tr>
      <w:tr w:rsidR="00084F45" w:rsidRPr="00084F45" w:rsidTr="00084F45">
        <w:trPr>
          <w:trHeight w:val="4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45" w:rsidRPr="00084F45" w:rsidRDefault="00084F45" w:rsidP="00084F45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8"/>
              </w:rPr>
            </w:pPr>
            <w:r w:rsidRPr="00084F45">
              <w:rPr>
                <w:rFonts w:ascii="Times New Roman" w:eastAsia="Times New Roman" w:hAnsi="Times New Roman"/>
                <w:sz w:val="24"/>
                <w:szCs w:val="24"/>
              </w:rPr>
              <w:t>Универсальные навыки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spacing w:after="200"/>
              <w:rPr>
                <w:rFonts w:ascii="Times New Roman" w:hAnsi="Times New Roman"/>
                <w:sz w:val="24"/>
              </w:rPr>
            </w:pPr>
            <w:r w:rsidRPr="00084F45">
              <w:rPr>
                <w:rFonts w:ascii="Times New Roman" w:hAnsi="Times New Roman"/>
                <w:color w:val="000000"/>
                <w:sz w:val="24"/>
              </w:rPr>
              <w:t>6 ч</w:t>
            </w:r>
          </w:p>
        </w:tc>
      </w:tr>
      <w:tr w:rsidR="00084F45" w:rsidRPr="00084F45" w:rsidTr="00084F45">
        <w:trPr>
          <w:trHeight w:val="5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45" w:rsidRPr="00084F45" w:rsidRDefault="00084F45" w:rsidP="00084F45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Какой я?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spacing w:after="200"/>
              <w:rPr>
                <w:rFonts w:ascii="Times New Roman" w:hAnsi="Times New Roman"/>
                <w:sz w:val="24"/>
              </w:rPr>
            </w:pPr>
            <w:r w:rsidRPr="00084F45">
              <w:rPr>
                <w:rFonts w:ascii="Times New Roman" w:hAnsi="Times New Roman"/>
                <w:color w:val="000000"/>
                <w:sz w:val="24"/>
              </w:rPr>
              <w:t>6 ч</w:t>
            </w:r>
          </w:p>
        </w:tc>
      </w:tr>
      <w:tr w:rsidR="00084F45" w:rsidRPr="00084F45" w:rsidTr="00084F45">
        <w:trPr>
          <w:trHeight w:val="50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45" w:rsidRPr="00084F45" w:rsidRDefault="00084F45" w:rsidP="00084F45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Образовательная траектория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spacing w:after="200"/>
              <w:rPr>
                <w:rFonts w:ascii="Times New Roman" w:hAnsi="Times New Roman"/>
                <w:sz w:val="24"/>
              </w:rPr>
            </w:pPr>
            <w:r w:rsidRPr="00084F45">
              <w:rPr>
                <w:rFonts w:ascii="Times New Roman" w:hAnsi="Times New Roman"/>
                <w:color w:val="000000"/>
                <w:sz w:val="24"/>
              </w:rPr>
              <w:t>7 ч</w:t>
            </w:r>
          </w:p>
        </w:tc>
      </w:tr>
      <w:tr w:rsidR="00084F45" w:rsidRPr="00084F45" w:rsidTr="00084F45">
        <w:trPr>
          <w:trHeight w:val="7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45" w:rsidRPr="00084F45" w:rsidRDefault="00084F45" w:rsidP="00084F45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shd w:val="clear" w:color="auto" w:fill="FFFFFF"/>
              <w:spacing w:before="120" w:after="12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4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Профессиональные возможности нашего региона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spacing w:after="200"/>
              <w:rPr>
                <w:rFonts w:ascii="Times New Roman" w:hAnsi="Times New Roman"/>
                <w:sz w:val="24"/>
              </w:rPr>
            </w:pPr>
            <w:r w:rsidRPr="00084F45">
              <w:rPr>
                <w:rFonts w:ascii="Times New Roman" w:hAnsi="Times New Roman"/>
                <w:color w:val="000000"/>
                <w:sz w:val="24"/>
              </w:rPr>
              <w:t>7 ч</w:t>
            </w:r>
          </w:p>
        </w:tc>
      </w:tr>
      <w:tr w:rsidR="00084F45" w:rsidRPr="00084F45" w:rsidTr="00084F45">
        <w:trPr>
          <w:trHeight w:val="54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45" w:rsidRPr="00084F45" w:rsidRDefault="00084F45" w:rsidP="00084F45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8"/>
              </w:rPr>
            </w:pPr>
            <w:r w:rsidRPr="00084F45">
              <w:rPr>
                <w:rFonts w:ascii="Times New Roman" w:eastAsia="Times New Roman" w:hAnsi="Times New Roman"/>
                <w:sz w:val="24"/>
                <w:szCs w:val="24"/>
              </w:rPr>
              <w:t>Проба профессии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spacing w:after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084F45">
              <w:rPr>
                <w:rFonts w:ascii="Times New Roman" w:hAnsi="Times New Roman"/>
                <w:color w:val="000000"/>
                <w:sz w:val="24"/>
              </w:rPr>
              <w:t xml:space="preserve"> ч</w:t>
            </w:r>
          </w:p>
        </w:tc>
      </w:tr>
      <w:tr w:rsidR="00084F45" w:rsidRPr="00084F45" w:rsidTr="00084F45">
        <w:trPr>
          <w:trHeight w:val="54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45" w:rsidRPr="00084F45" w:rsidRDefault="00084F45" w:rsidP="00084F45">
            <w:pPr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tabs>
                <w:tab w:val="left" w:pos="1701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84F45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F45" w:rsidRPr="00084F45" w:rsidRDefault="00084F45" w:rsidP="00084F45">
            <w:pPr>
              <w:spacing w:after="200"/>
              <w:rPr>
                <w:rFonts w:ascii="Times New Roman" w:hAnsi="Times New Roman"/>
                <w:color w:val="000000"/>
                <w:sz w:val="24"/>
              </w:rPr>
            </w:pPr>
            <w:r w:rsidRPr="00084F4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084F45" w:rsidRPr="00084F45" w:rsidRDefault="00084F45" w:rsidP="00084F45">
      <w:pPr>
        <w:spacing w:after="200" w:line="276" w:lineRule="auto"/>
        <w:rPr>
          <w:rFonts w:ascii="Calibri" w:eastAsia="Calibri" w:hAnsi="Calibri" w:cs="Times New Roman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4F45" w:rsidRDefault="00084F45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987" w:rsidRPr="004E6987" w:rsidRDefault="004E6987" w:rsidP="004E6987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Поурочное планирование </w:t>
      </w:r>
    </w:p>
    <w:p w:rsidR="004E6987" w:rsidRPr="004E6987" w:rsidRDefault="00C92273" w:rsidP="004E6987">
      <w:pPr>
        <w:spacing w:after="20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4E6987" w:rsidRPr="004E6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(34ч.)</w:t>
      </w: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9"/>
        <w:gridCol w:w="5358"/>
        <w:gridCol w:w="992"/>
        <w:gridCol w:w="1276"/>
        <w:gridCol w:w="1275"/>
      </w:tblGrid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4E6987" w:rsidRPr="004E6987" w:rsidTr="004E6987"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Раздел 1. Введение - 1 ч.</w:t>
            </w:r>
          </w:p>
          <w:p w:rsidR="004E6987" w:rsidRPr="004E6987" w:rsidRDefault="004E6987" w:rsidP="004E6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6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77" w:after="0" w:line="240" w:lineRule="auto"/>
              <w:ind w:right="155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Calibri" w:eastAsia="Calibri" w:hAnsi="Calibri" w:cs="Times New Roman"/>
              </w:rPr>
              <w:t>Знакомство участников программы Игры и упражнения, по</w:t>
            </w:r>
            <w:r w:rsidRPr="004E6987">
              <w:rPr>
                <w:rFonts w:ascii="Calibri" w:eastAsia="Cambria" w:hAnsi="Calibri" w:cs="Times New Roman"/>
              </w:rPr>
              <w:t>могающие познакомиться.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95"/>
                <w:sz w:val="28"/>
                <w:szCs w:val="28"/>
                <w:lang w:eastAsia="ru-RU"/>
              </w:rPr>
            </w:pPr>
            <w:r w:rsidRPr="004E6987">
              <w:rPr>
                <w:rFonts w:ascii="Times New Roman" w:eastAsia="Times New Roman" w:hAnsi="Times New Roman" w:cs="Times New Roman"/>
                <w:b/>
                <w:w w:val="95"/>
                <w:sz w:val="28"/>
                <w:szCs w:val="28"/>
                <w:lang w:eastAsia="ru-RU"/>
              </w:rPr>
              <w:t xml:space="preserve">        Раздел</w:t>
            </w:r>
            <w:r w:rsidRPr="004E6987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8"/>
                <w:szCs w:val="28"/>
                <w:lang w:eastAsia="ru-RU"/>
              </w:rPr>
              <w:t xml:space="preserve"> </w:t>
            </w:r>
            <w:r w:rsidRPr="004E6987">
              <w:rPr>
                <w:rFonts w:ascii="Times New Roman" w:eastAsia="Times New Roman" w:hAnsi="Times New Roman" w:cs="Times New Roman"/>
                <w:b/>
                <w:w w:val="95"/>
                <w:sz w:val="28"/>
                <w:szCs w:val="28"/>
                <w:lang w:eastAsia="ru-RU"/>
              </w:rPr>
              <w:t>2.</w:t>
            </w:r>
            <w:r w:rsidRPr="004E6987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="00084F45">
              <w:rPr>
                <w:rFonts w:ascii="Times New Roman" w:eastAsia="Times New Roman" w:hAnsi="Times New Roman" w:cs="Times New Roman"/>
                <w:b/>
                <w:w w:val="95"/>
                <w:sz w:val="28"/>
                <w:szCs w:val="28"/>
                <w:lang w:eastAsia="ru-RU"/>
              </w:rPr>
              <w:t>Универсальные навыки</w:t>
            </w:r>
            <w:r w:rsidRPr="004E6987">
              <w:rPr>
                <w:rFonts w:ascii="Times New Roman" w:eastAsia="Times New Roman" w:hAnsi="Times New Roman" w:cs="Times New Roman"/>
                <w:b/>
                <w:w w:val="95"/>
                <w:sz w:val="28"/>
                <w:szCs w:val="28"/>
                <w:lang w:eastAsia="ru-RU"/>
              </w:rPr>
              <w:t xml:space="preserve">  </w:t>
            </w:r>
            <w:r w:rsidRPr="004E6987">
              <w:rPr>
                <w:rFonts w:ascii="Times New Roman" w:eastAsia="Times New Roman" w:hAnsi="Times New Roman" w:cs="Times New Roman"/>
                <w:b/>
                <w:spacing w:val="3"/>
                <w:w w:val="95"/>
                <w:sz w:val="28"/>
                <w:szCs w:val="28"/>
                <w:lang w:eastAsia="ru-RU"/>
              </w:rPr>
              <w:t xml:space="preserve"> </w:t>
            </w:r>
            <w:r w:rsidRPr="004E6987">
              <w:rPr>
                <w:rFonts w:ascii="Times New Roman" w:eastAsia="Times New Roman" w:hAnsi="Times New Roman" w:cs="Times New Roman"/>
                <w:b/>
                <w:w w:val="95"/>
                <w:sz w:val="28"/>
                <w:szCs w:val="28"/>
                <w:lang w:eastAsia="ru-RU"/>
              </w:rPr>
              <w:t>- 6 ч.</w:t>
            </w:r>
          </w:p>
          <w:p w:rsidR="004E6987" w:rsidRPr="004E6987" w:rsidRDefault="004E6987" w:rsidP="004E6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23" w:after="0" w:line="240" w:lineRule="auto"/>
              <w:ind w:left="3" w:right="15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Устная </w:t>
            </w:r>
            <w:proofErr w:type="gramStart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и  письменная</w:t>
            </w:r>
            <w:proofErr w:type="gramEnd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речь.  Нужно ли профессионалу быть грамотным?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22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Жесты, </w:t>
            </w:r>
            <w:proofErr w:type="gramStart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мимика,  телодвижения</w:t>
            </w:r>
            <w:proofErr w:type="gramEnd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как источник информации о человеке. Влияние интонации на слушателя.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19" w:after="0" w:line="240" w:lineRule="auto"/>
              <w:ind w:right="155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Понимание </w:t>
            </w:r>
            <w:proofErr w:type="gramStart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как  основа</w:t>
            </w:r>
            <w:proofErr w:type="gramEnd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взаимоотношений   между   людьми. Умение поставить себя на место другого человека.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42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45" w:after="0" w:line="240" w:lineRule="auto"/>
              <w:ind w:right="152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О чём говорят поступки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42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45" w:after="0" w:line="240" w:lineRule="auto"/>
              <w:ind w:right="158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Что такое «личное пространство человека». Значение личного пространства для самочувствия, настроения, работоспособности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42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widowControl w:val="0"/>
              <w:tabs>
                <w:tab w:val="left" w:pos="1722"/>
              </w:tabs>
              <w:autoSpaceDE w:val="0"/>
              <w:autoSpaceDN w:val="0"/>
              <w:spacing w:before="44" w:after="0" w:line="240" w:lineRule="auto"/>
              <w:ind w:right="159"/>
              <w:rPr>
                <w:rFonts w:ascii="Times New Roman" w:eastAsia="Cambria" w:hAnsi="Times New Roman" w:cs="Times New Roman"/>
                <w:w w:val="115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Чем опасен конфликт в </w:t>
            </w:r>
            <w:proofErr w:type="gramStart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профессиональной  жизни</w:t>
            </w:r>
            <w:proofErr w:type="gramEnd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человека? Польза конфликта. Нужно ли и как  избегать  конфликтных  ситуаций?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42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  <w:lang w:eastAsia="ru-RU"/>
              </w:rPr>
              <w:t xml:space="preserve">       Раздел 3. Какой я? - 6 ч.</w:t>
            </w:r>
          </w:p>
        </w:tc>
      </w:tr>
      <w:tr w:rsidR="004E6987" w:rsidRPr="004E6987" w:rsidTr="004E6987">
        <w:trPr>
          <w:trHeight w:val="42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79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Что мы наследуем от предков и что приобретаем в процессе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726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Учёт </w:t>
            </w:r>
            <w:proofErr w:type="gramStart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психологических  особенностей</w:t>
            </w:r>
            <w:proofErr w:type="gramEnd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человека  в  процессе выбора профессии.</w:t>
            </w:r>
          </w:p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79" w:after="0" w:line="240" w:lineRule="auto"/>
              <w:ind w:left="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ind w:left="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Игры, развивающие внимание, память, логику, абстрактное и критическое мышление. Правила командных игр.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23" w:after="0" w:line="240" w:lineRule="auto"/>
              <w:ind w:right="158"/>
              <w:rPr>
                <w:rFonts w:ascii="Times New Roman" w:eastAsia="Cambria" w:hAnsi="Times New Roman" w:cs="Times New Roman"/>
                <w:spacing w:val="1"/>
                <w:w w:val="105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Способность к самопознанию как особенность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Экстремальные ситуации и «экстремальные» профессии.</w:t>
            </w:r>
          </w:p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22" w:after="0" w:line="240" w:lineRule="auto"/>
              <w:ind w:left="3" w:right="158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19" w:after="0" w:line="240" w:lineRule="auto"/>
              <w:ind w:right="159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. Создание собственного стиля и уместность его демонстрации при приёме на работу.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line="256" w:lineRule="auto"/>
              <w:ind w:right="57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E6987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  <w:lang w:eastAsia="ru-RU"/>
              </w:rPr>
              <w:t>Раздел</w:t>
            </w:r>
            <w:r w:rsidRPr="004E6987">
              <w:rPr>
                <w:rFonts w:ascii="Times New Roman" w:eastAsia="Cambria" w:hAnsi="Times New Roman" w:cs="Times New Roman"/>
                <w:b/>
                <w:spacing w:val="8"/>
                <w:w w:val="90"/>
                <w:sz w:val="28"/>
                <w:szCs w:val="28"/>
                <w:lang w:eastAsia="ru-RU"/>
              </w:rPr>
              <w:t xml:space="preserve"> </w:t>
            </w:r>
            <w:r w:rsidRPr="004E6987">
              <w:rPr>
                <w:rFonts w:ascii="Times New Roman" w:eastAsia="Cambria" w:hAnsi="Times New Roman" w:cs="Times New Roman"/>
                <w:b/>
                <w:w w:val="90"/>
                <w:sz w:val="28"/>
                <w:szCs w:val="28"/>
                <w:lang w:eastAsia="ru-RU"/>
              </w:rPr>
              <w:t>4.</w:t>
            </w:r>
            <w:r w:rsidRPr="004E6987">
              <w:rPr>
                <w:rFonts w:ascii="Times New Roman" w:eastAsia="Cambria" w:hAnsi="Times New Roman" w:cs="Times New Roman"/>
                <w:b/>
                <w:spacing w:val="9"/>
                <w:w w:val="90"/>
                <w:sz w:val="28"/>
                <w:szCs w:val="28"/>
                <w:lang w:eastAsia="ru-RU"/>
              </w:rPr>
              <w:t xml:space="preserve"> </w:t>
            </w:r>
            <w:r w:rsidRPr="004E698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 Образовательная траектория- 7 ч.</w:t>
            </w:r>
          </w:p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48" w:after="0" w:line="240" w:lineRule="auto"/>
              <w:ind w:right="222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42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Ошибки, которые мы совершаем в жизни. Причины  ошибок.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65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Как не ошибиться в выборе колледжа, вуза, профессии. Пути исправления ошибок.</w:t>
            </w:r>
          </w:p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44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629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41" w:after="0" w:line="240" w:lineRule="auto"/>
              <w:ind w:right="237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Ориентация на собственное будущее как залог сегодняшних успехов.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Факторы, влияющие на успех в карьере. Примеры траекторий становления известных людей мира, страны, города.</w:t>
            </w:r>
          </w:p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107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Большая </w:t>
            </w:r>
            <w:proofErr w:type="spellStart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игра как способ конструирования школьником собственного образовательного и профессионального маршрута.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E6987" w:rsidRPr="004E6987" w:rsidTr="004E6987">
        <w:trPr>
          <w:trHeight w:val="58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Этапы проведения игры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E6987" w:rsidRPr="004E6987" w:rsidTr="004E6987">
        <w:trPr>
          <w:trHeight w:val="315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Цели и задачи игры.</w:t>
            </w:r>
          </w:p>
          <w:p w:rsidR="004E6987" w:rsidRPr="004E6987" w:rsidRDefault="004E6987" w:rsidP="004E6987">
            <w:pPr>
              <w:widowControl w:val="0"/>
              <w:autoSpaceDE w:val="0"/>
              <w:autoSpaceDN w:val="0"/>
              <w:spacing w:before="79" w:after="0" w:line="240" w:lineRule="auto"/>
              <w:rPr>
                <w:rFonts w:ascii="Times New Roman" w:eastAsia="Cambr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315"/>
        </w:trPr>
        <w:tc>
          <w:tcPr>
            <w:tcW w:w="8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line="256" w:lineRule="auto"/>
              <w:ind w:right="57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Раздел 5. Профессиональные возможности нашего региона-7</w:t>
            </w:r>
            <w:r w:rsidR="00084F4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 ч.</w:t>
            </w:r>
          </w:p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Обзор учреждений среднего профессионального образования региона: место расположения, проходной балл, направления подготовки, бюджетные, внебюджетные и целевые места, возможности трудоустройства после окончания.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Судьбы выпускников школы, окончивших колледжи региона.</w:t>
            </w:r>
          </w:p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. Поиск нужной информации на сайтах вузов.</w:t>
            </w:r>
          </w:p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151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Потребность  региона</w:t>
            </w:r>
            <w:proofErr w:type="gramEnd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в кадрах, динамика роста заработной платы в регионе, социальные гарантии, перспективы карьерного роста и повышения  квалификации в своём регионе и в соседних регионах.</w:t>
            </w:r>
          </w:p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120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Профессиональные,  предметные</w:t>
            </w:r>
            <w:proofErr w:type="gramEnd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конкурсы  и  олимпиады,   их роль в поступлении в вуз или колледж, их  роль  в  профессиональном самоопределении.</w:t>
            </w:r>
          </w:p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Гранты и проекты региона и страны, которые могут быть интересны школьнику и которые могут помочь в запуске собственного </w:t>
            </w:r>
            <w:proofErr w:type="spellStart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стартапа</w:t>
            </w:r>
            <w:proofErr w:type="spellEnd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Обзор  ведущих</w:t>
            </w:r>
            <w:proofErr w:type="gramEnd"/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 предприятий   региона.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6.</w:t>
            </w:r>
            <w:r w:rsidR="00084F45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 Проба профессии-7</w:t>
            </w:r>
            <w:r w:rsidRPr="004E698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Окончание 9 класса и первый профессиональный выбор школьника.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50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Профессиональная проба — что это такое.</w:t>
            </w:r>
          </w:p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Основные направления деятельности журналиста Жанры в журналистике.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Профессиональные качества и этика журналиста.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Особенности работы в периодической печати, особенности новостной информации и её виды.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Российский закон о праве на частную жизнь.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rPr>
          <w:trHeight w:val="128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widowControl w:val="0"/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6987">
              <w:rPr>
                <w:rFonts w:ascii="Times New Roman" w:eastAsia="Cambria" w:hAnsi="Times New Roman" w:cs="Times New Roman"/>
                <w:sz w:val="24"/>
                <w:szCs w:val="24"/>
              </w:rPr>
              <w:t>Итоги изучения курса внеурочной деятельности «Профориентация». Основные эмоции, знания, выводы, сомнения, открытия. Список предпочитаемых профессий: вторая версия.</w:t>
            </w:r>
          </w:p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6987" w:rsidRPr="004E6987" w:rsidTr="004E698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9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987" w:rsidRPr="004E6987" w:rsidRDefault="004E6987" w:rsidP="004E6987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6987" w:rsidRPr="004E6987" w:rsidRDefault="004E6987" w:rsidP="004E69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987" w:rsidRPr="004E6987" w:rsidRDefault="004E6987" w:rsidP="004E6987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6987" w:rsidRPr="004E6987" w:rsidRDefault="004E6987" w:rsidP="004E6987">
      <w:pPr>
        <w:spacing w:line="256" w:lineRule="auto"/>
        <w:rPr>
          <w:rFonts w:ascii="Calibri" w:eastAsia="Calibri" w:hAnsi="Calibri" w:cs="Times New Roman"/>
        </w:rPr>
      </w:pPr>
    </w:p>
    <w:p w:rsidR="001959EE" w:rsidRDefault="001959EE"/>
    <w:sectPr w:rsidR="00195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2E7A"/>
    <w:multiLevelType w:val="hybridMultilevel"/>
    <w:tmpl w:val="5650B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E3E"/>
    <w:multiLevelType w:val="hybridMultilevel"/>
    <w:tmpl w:val="0272492A"/>
    <w:lvl w:ilvl="0" w:tplc="085C0814">
      <w:start w:val="1"/>
      <w:numFmt w:val="bullet"/>
      <w:lvlText w:val="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 w15:restartNumberingAfterBreak="0">
    <w:nsid w:val="1B233602"/>
    <w:multiLevelType w:val="hybridMultilevel"/>
    <w:tmpl w:val="3C8AE114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82D76"/>
    <w:multiLevelType w:val="hybridMultilevel"/>
    <w:tmpl w:val="63284B08"/>
    <w:lvl w:ilvl="0" w:tplc="085C0814">
      <w:start w:val="1"/>
      <w:numFmt w:val="bullet"/>
      <w:lvlText w:val="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299A4012"/>
    <w:multiLevelType w:val="hybridMultilevel"/>
    <w:tmpl w:val="8200C7E8"/>
    <w:lvl w:ilvl="0" w:tplc="085C0814">
      <w:start w:val="1"/>
      <w:numFmt w:val="bullet"/>
      <w:lvlText w:val="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 w15:restartNumberingAfterBreak="0">
    <w:nsid w:val="4EB36348"/>
    <w:multiLevelType w:val="hybridMultilevel"/>
    <w:tmpl w:val="38265BD0"/>
    <w:lvl w:ilvl="0" w:tplc="085C0814">
      <w:start w:val="1"/>
      <w:numFmt w:val="bullet"/>
      <w:lvlText w:val="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 w15:restartNumberingAfterBreak="0">
    <w:nsid w:val="52140682"/>
    <w:multiLevelType w:val="hybridMultilevel"/>
    <w:tmpl w:val="BE08E3D4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16F09"/>
    <w:multiLevelType w:val="hybridMultilevel"/>
    <w:tmpl w:val="0CAEE9CE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90E93"/>
    <w:multiLevelType w:val="hybridMultilevel"/>
    <w:tmpl w:val="949EE382"/>
    <w:lvl w:ilvl="0" w:tplc="085C0814">
      <w:start w:val="1"/>
      <w:numFmt w:val="bullet"/>
      <w:lvlText w:val="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83"/>
    <w:rsid w:val="00025FCB"/>
    <w:rsid w:val="00084F45"/>
    <w:rsid w:val="001959EE"/>
    <w:rsid w:val="004E6987"/>
    <w:rsid w:val="005B05BE"/>
    <w:rsid w:val="008B5023"/>
    <w:rsid w:val="00931B96"/>
    <w:rsid w:val="00AB2A49"/>
    <w:rsid w:val="00C92273"/>
    <w:rsid w:val="00CE1783"/>
    <w:rsid w:val="00D8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9D7A"/>
  <w15:chartTrackingRefBased/>
  <w15:docId w15:val="{650B1091-D4FA-40D5-B780-04EF24BE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1B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1B9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84F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5602</Words>
  <Characters>31932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2023-11-18T19:58:00Z</cp:lastPrinted>
  <dcterms:created xsi:type="dcterms:W3CDTF">2023-11-18T19:34:00Z</dcterms:created>
  <dcterms:modified xsi:type="dcterms:W3CDTF">2024-09-17T19:53:00Z</dcterms:modified>
</cp:coreProperties>
</file>